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18417F" w14:textId="3F6F6803" w:rsidR="00445F8C" w:rsidRDefault="00084192" w:rsidP="00F125CE">
      <w:pPr>
        <w:spacing w:line="600" w:lineRule="exact"/>
        <w:ind w:firstLineChars="0" w:firstLine="0"/>
        <w:jc w:val="center"/>
        <w:rPr>
          <w:rFonts w:eastAsia="方正小标宋简体"/>
          <w:sz w:val="44"/>
          <w:szCs w:val="32"/>
        </w:rPr>
      </w:pPr>
      <w:r>
        <w:rPr>
          <w:rFonts w:eastAsia="方正小标宋简体"/>
          <w:sz w:val="44"/>
          <w:szCs w:val="32"/>
        </w:rPr>
        <w:t>团体标准《生物质锅炉清洁燃烧评价指标体系》（</w:t>
      </w:r>
      <w:r>
        <w:rPr>
          <w:rFonts w:eastAsia="方正小标宋简体" w:hint="eastAsia"/>
          <w:sz w:val="44"/>
          <w:szCs w:val="32"/>
        </w:rPr>
        <w:t>征求意见稿</w:t>
      </w:r>
      <w:r>
        <w:rPr>
          <w:rFonts w:eastAsia="方正小标宋简体"/>
          <w:sz w:val="44"/>
          <w:szCs w:val="32"/>
        </w:rPr>
        <w:t>）编制说明</w:t>
      </w:r>
    </w:p>
    <w:p w14:paraId="119593BC" w14:textId="77777777" w:rsidR="00445F8C" w:rsidRDefault="00084192">
      <w:pPr>
        <w:autoSpaceDE w:val="0"/>
        <w:autoSpaceDN w:val="0"/>
        <w:adjustRightInd w:val="0"/>
        <w:spacing w:beforeLines="50" w:before="156" w:afterLines="50" w:after="156" w:line="560" w:lineRule="exact"/>
        <w:ind w:firstLine="640"/>
        <w:jc w:val="left"/>
        <w:rPr>
          <w:rFonts w:eastAsia="黑体"/>
          <w:szCs w:val="32"/>
        </w:rPr>
      </w:pPr>
      <w:r>
        <w:rPr>
          <w:rFonts w:eastAsia="黑体"/>
          <w:szCs w:val="32"/>
        </w:rPr>
        <w:t>一、任务来源、起草单位、主要起草人</w:t>
      </w:r>
    </w:p>
    <w:p w14:paraId="32514AAC" w14:textId="77777777" w:rsidR="00445F8C" w:rsidRDefault="00084192">
      <w:pPr>
        <w:ind w:firstLine="640"/>
        <w:rPr>
          <w:szCs w:val="28"/>
        </w:rPr>
      </w:pPr>
      <w:r>
        <w:rPr>
          <w:szCs w:val="28"/>
        </w:rPr>
        <w:t>根据《广西标准化协会关于下达</w:t>
      </w:r>
      <w:r>
        <w:rPr>
          <w:szCs w:val="28"/>
        </w:rPr>
        <w:t>2024</w:t>
      </w:r>
      <w:r>
        <w:rPr>
          <w:szCs w:val="28"/>
        </w:rPr>
        <w:t>年第二十一批团体标准制修订项目计划的通知》（</w:t>
      </w:r>
      <w:proofErr w:type="gramStart"/>
      <w:r>
        <w:rPr>
          <w:szCs w:val="28"/>
        </w:rPr>
        <w:t>桂标协〔</w:t>
      </w:r>
      <w:r>
        <w:rPr>
          <w:szCs w:val="28"/>
        </w:rPr>
        <w:t>2024</w:t>
      </w:r>
      <w:r>
        <w:rPr>
          <w:szCs w:val="28"/>
        </w:rPr>
        <w:t>〕</w:t>
      </w:r>
      <w:proofErr w:type="gramEnd"/>
      <w:r>
        <w:rPr>
          <w:szCs w:val="28"/>
        </w:rPr>
        <w:t>162</w:t>
      </w:r>
      <w:r>
        <w:rPr>
          <w:szCs w:val="28"/>
        </w:rPr>
        <w:t>号）文件精神，由</w:t>
      </w:r>
      <w:r>
        <w:rPr>
          <w:szCs w:val="21"/>
        </w:rPr>
        <w:t>中国环境科学研究院</w:t>
      </w:r>
      <w:r>
        <w:rPr>
          <w:szCs w:val="28"/>
        </w:rPr>
        <w:t>提出，</w:t>
      </w:r>
      <w:r>
        <w:rPr>
          <w:szCs w:val="21"/>
        </w:rPr>
        <w:t>中国环境科学研究院、清华大学、生态环境部华南环境科学研究所、福建龙净环保股份有限公司、浙江大学、中国科学院过程工程研究所、邯郸市环境监测中心</w:t>
      </w:r>
      <w:r>
        <w:rPr>
          <w:szCs w:val="28"/>
        </w:rPr>
        <w:t>等单位共同起草的团体标准《生物质锅炉清洁燃烧评价指标体系》（项目编号：</w:t>
      </w:r>
      <w:r>
        <w:rPr>
          <w:szCs w:val="28"/>
        </w:rPr>
        <w:t>2024-2101</w:t>
      </w:r>
      <w:r>
        <w:rPr>
          <w:szCs w:val="28"/>
        </w:rPr>
        <w:t>）已获批立项。</w:t>
      </w:r>
    </w:p>
    <w:p w14:paraId="73AA64E0" w14:textId="77777777" w:rsidR="00445F8C" w:rsidRDefault="00084192">
      <w:pPr>
        <w:autoSpaceDE w:val="0"/>
        <w:autoSpaceDN w:val="0"/>
        <w:adjustRightInd w:val="0"/>
        <w:spacing w:line="560" w:lineRule="exact"/>
        <w:ind w:firstLine="640"/>
        <w:rPr>
          <w:szCs w:val="28"/>
        </w:rPr>
      </w:pPr>
      <w:r>
        <w:rPr>
          <w:szCs w:val="28"/>
        </w:rPr>
        <w:t>在</w:t>
      </w:r>
      <w:r>
        <w:rPr>
          <w:szCs w:val="28"/>
        </w:rPr>
        <w:t>“</w:t>
      </w:r>
      <w:r>
        <w:rPr>
          <w:szCs w:val="28"/>
        </w:rPr>
        <w:t>双碳</w:t>
      </w:r>
      <w:r>
        <w:rPr>
          <w:szCs w:val="28"/>
        </w:rPr>
        <w:t>”</w:t>
      </w:r>
      <w:r>
        <w:rPr>
          <w:szCs w:val="28"/>
        </w:rPr>
        <w:t>战略背景下，生物质锅炉作为工业和民用领域可再生能源利用的重要装备，其清洁燃烧水平直接关系到减</w:t>
      </w:r>
      <w:proofErr w:type="gramStart"/>
      <w:r>
        <w:rPr>
          <w:szCs w:val="28"/>
        </w:rPr>
        <w:t>污降碳</w:t>
      </w:r>
      <w:proofErr w:type="gramEnd"/>
      <w:r>
        <w:rPr>
          <w:szCs w:val="28"/>
        </w:rPr>
        <w:t>协同成效。广西地区生物质资源丰富，生物质锅炉保有量大、类型多样，燃料来源复杂、炉型与运行工况差异显著，燃烧端效率、污染物生成特征及温室气体排放水平受前端工艺与装备条件影响尤为突出。现有管理与评价方式以排放结果为主，难以系统反映燃烧过程和工程运行对清洁燃烧水平的决定性影响，因此亟需构建以燃烧过程和运行性能为核心、兼顾污染物与温室气体控制的生物质锅炉清洁燃烧评价指标体系，为区域治理和技术提升提供科学依据。</w:t>
      </w:r>
    </w:p>
    <w:p w14:paraId="6AECCEA6" w14:textId="77777777" w:rsidR="00445F8C" w:rsidRDefault="00084192">
      <w:pPr>
        <w:autoSpaceDE w:val="0"/>
        <w:autoSpaceDN w:val="0"/>
        <w:adjustRightInd w:val="0"/>
        <w:spacing w:line="560" w:lineRule="exact"/>
        <w:ind w:firstLine="640"/>
        <w:rPr>
          <w:szCs w:val="28"/>
        </w:rPr>
      </w:pPr>
      <w:r>
        <w:rPr>
          <w:szCs w:val="28"/>
        </w:rPr>
        <w:t>为支撑上述评价体系的科学构建与方法学合理性，中国环境科学研究</w:t>
      </w:r>
      <w:proofErr w:type="gramStart"/>
      <w:r>
        <w:rPr>
          <w:szCs w:val="28"/>
        </w:rPr>
        <w:t>院参与</w:t>
      </w:r>
      <w:proofErr w:type="gramEnd"/>
      <w:r>
        <w:rPr>
          <w:szCs w:val="28"/>
        </w:rPr>
        <w:t>了国家重点研发计划</w:t>
      </w:r>
      <w:r>
        <w:rPr>
          <w:szCs w:val="28"/>
        </w:rPr>
        <w:t>“</w:t>
      </w:r>
      <w:r>
        <w:rPr>
          <w:szCs w:val="28"/>
        </w:rPr>
        <w:t>大气与土壤、地下水污染综合治理</w:t>
      </w:r>
      <w:r>
        <w:rPr>
          <w:szCs w:val="28"/>
        </w:rPr>
        <w:t>”</w:t>
      </w:r>
      <w:r>
        <w:rPr>
          <w:szCs w:val="28"/>
        </w:rPr>
        <w:t>专项</w:t>
      </w:r>
      <w:r>
        <w:rPr>
          <w:szCs w:val="28"/>
        </w:rPr>
        <w:t>“</w:t>
      </w:r>
      <w:r>
        <w:rPr>
          <w:szCs w:val="28"/>
        </w:rPr>
        <w:t>工业锅炉烟气多污染物低能耗高效协同治理技术及</w:t>
      </w:r>
      <w:r>
        <w:rPr>
          <w:szCs w:val="28"/>
        </w:rPr>
        <w:lastRenderedPageBreak/>
        <w:t>装备</w:t>
      </w:r>
      <w:r>
        <w:rPr>
          <w:szCs w:val="28"/>
        </w:rPr>
        <w:t>”</w:t>
      </w:r>
      <w:r>
        <w:rPr>
          <w:szCs w:val="28"/>
        </w:rPr>
        <w:t>（</w:t>
      </w:r>
      <w:r>
        <w:rPr>
          <w:szCs w:val="28"/>
        </w:rPr>
        <w:t>2022YFC3701605</w:t>
      </w:r>
      <w:r>
        <w:rPr>
          <w:szCs w:val="28"/>
        </w:rPr>
        <w:t>）项目，承担课题</w:t>
      </w:r>
      <w:r>
        <w:rPr>
          <w:szCs w:val="28"/>
        </w:rPr>
        <w:t>5“</w:t>
      </w:r>
      <w:r>
        <w:rPr>
          <w:szCs w:val="28"/>
        </w:rPr>
        <w:t>工业锅炉烟气多污染物协同治理技术评估及管控体系研究</w:t>
      </w:r>
      <w:r>
        <w:rPr>
          <w:szCs w:val="28"/>
        </w:rPr>
        <w:t>”</w:t>
      </w:r>
      <w:r>
        <w:rPr>
          <w:szCs w:val="28"/>
        </w:rPr>
        <w:t>的研究任务，为本标准的制定提供了研究支持。本标准是在上述研究成果基础上，结合广西省域生物质锅炉实际运行特征形成的技术成果之一。</w:t>
      </w:r>
    </w:p>
    <w:p w14:paraId="19C09817" w14:textId="77777777" w:rsidR="00445F8C" w:rsidRDefault="00084192">
      <w:pPr>
        <w:autoSpaceDE w:val="0"/>
        <w:autoSpaceDN w:val="0"/>
        <w:adjustRightInd w:val="0"/>
        <w:spacing w:line="560" w:lineRule="exact"/>
        <w:ind w:firstLine="640"/>
        <w:rPr>
          <w:szCs w:val="28"/>
        </w:rPr>
      </w:pPr>
      <w:r>
        <w:rPr>
          <w:szCs w:val="28"/>
        </w:rPr>
        <w:t>在上述研究基础上，为进一步发挥标准对工程实践和管理决策的支撑作用，本标准立足广西、面向全国，构建具有可推广性的生物质锅炉清洁燃烧评价指标体系，为推动生物质锅炉源头减排、提升能源利用效率、支撑</w:t>
      </w:r>
      <w:r>
        <w:rPr>
          <w:szCs w:val="28"/>
        </w:rPr>
        <w:t>“</w:t>
      </w:r>
      <w:r>
        <w:rPr>
          <w:szCs w:val="28"/>
        </w:rPr>
        <w:t>双碳</w:t>
      </w:r>
      <w:r>
        <w:rPr>
          <w:szCs w:val="28"/>
        </w:rPr>
        <w:t>”</w:t>
      </w:r>
      <w:r>
        <w:rPr>
          <w:szCs w:val="28"/>
        </w:rPr>
        <w:t>目标实现提供技术支撑和评价依据。</w:t>
      </w:r>
    </w:p>
    <w:p w14:paraId="0C975F7C" w14:textId="2FF6238B" w:rsidR="00445F8C" w:rsidRDefault="00084192">
      <w:pPr>
        <w:ind w:firstLine="640"/>
        <w:rPr>
          <w:szCs w:val="28"/>
        </w:rPr>
      </w:pPr>
      <w:r>
        <w:rPr>
          <w:szCs w:val="28"/>
        </w:rPr>
        <w:t>为保障本标准制定工作的科学性、代表性和</w:t>
      </w:r>
      <w:proofErr w:type="gramStart"/>
      <w:r>
        <w:rPr>
          <w:szCs w:val="28"/>
        </w:rPr>
        <w:t>可</w:t>
      </w:r>
      <w:proofErr w:type="gramEnd"/>
      <w:r>
        <w:rPr>
          <w:szCs w:val="28"/>
        </w:rPr>
        <w:t>实施性，本标准的承担单位为中国环境科学研究院，参加单位为</w:t>
      </w:r>
      <w:r w:rsidR="000D0B54" w:rsidRPr="000D0B54">
        <w:rPr>
          <w:szCs w:val="28"/>
        </w:rPr>
        <w:t>中国科学院过程工程研究所</w:t>
      </w:r>
      <w:r w:rsidR="000D0B54">
        <w:rPr>
          <w:rFonts w:hint="eastAsia"/>
          <w:szCs w:val="28"/>
        </w:rPr>
        <w:t>、</w:t>
      </w:r>
      <w:r w:rsidR="000D0B54" w:rsidRPr="000D0B54">
        <w:rPr>
          <w:szCs w:val="28"/>
        </w:rPr>
        <w:t>福建龙净环保股份有限公司</w:t>
      </w:r>
      <w:r w:rsidR="000D0B54">
        <w:rPr>
          <w:rFonts w:hint="eastAsia"/>
          <w:szCs w:val="28"/>
        </w:rPr>
        <w:t>、</w:t>
      </w:r>
      <w:r>
        <w:rPr>
          <w:szCs w:val="28"/>
        </w:rPr>
        <w:t>清华大学、生态环境部华南环境科学研究所</w:t>
      </w:r>
      <w:r w:rsidR="00DD7317">
        <w:rPr>
          <w:rFonts w:hint="eastAsia"/>
          <w:szCs w:val="28"/>
        </w:rPr>
        <w:t>、</w:t>
      </w:r>
      <w:r>
        <w:rPr>
          <w:szCs w:val="28"/>
        </w:rPr>
        <w:t>浙江大学</w:t>
      </w:r>
      <w:r w:rsidR="00DD7317">
        <w:rPr>
          <w:rFonts w:hint="eastAsia"/>
          <w:szCs w:val="28"/>
        </w:rPr>
        <w:t>和</w:t>
      </w:r>
      <w:r w:rsidR="00DD7317" w:rsidRPr="00DD7317">
        <w:rPr>
          <w:rFonts w:hint="eastAsia"/>
          <w:szCs w:val="28"/>
        </w:rPr>
        <w:t>邯郸市环境监控中心</w:t>
      </w:r>
      <w:r>
        <w:rPr>
          <w:szCs w:val="28"/>
        </w:rPr>
        <w:t>。为高质量编制团体标准《生物质锅炉清洁燃烧评价指标体系》，由起草单位成立标准编制工作组并进行如下分工：</w:t>
      </w:r>
    </w:p>
    <w:tbl>
      <w:tblPr>
        <w:tblW w:w="5158" w:type="pct"/>
        <w:tblLook w:val="04A0" w:firstRow="1" w:lastRow="0" w:firstColumn="1" w:lastColumn="0" w:noHBand="0" w:noVBand="1"/>
      </w:tblPr>
      <w:tblGrid>
        <w:gridCol w:w="1241"/>
        <w:gridCol w:w="1560"/>
        <w:gridCol w:w="2410"/>
        <w:gridCol w:w="4253"/>
      </w:tblGrid>
      <w:tr w:rsidR="00445F8C" w14:paraId="42F5FF36" w14:textId="77777777">
        <w:trPr>
          <w:cantSplit/>
          <w:trHeight w:val="576"/>
        </w:trPr>
        <w:tc>
          <w:tcPr>
            <w:tcW w:w="656" w:type="pct"/>
            <w:tcBorders>
              <w:top w:val="single" w:sz="4" w:space="0" w:color="auto"/>
              <w:left w:val="single" w:sz="4" w:space="0" w:color="auto"/>
              <w:bottom w:val="single" w:sz="4" w:space="0" w:color="auto"/>
              <w:right w:val="single" w:sz="4" w:space="0" w:color="auto"/>
            </w:tcBorders>
            <w:vAlign w:val="center"/>
          </w:tcPr>
          <w:p w14:paraId="2636C335" w14:textId="77777777" w:rsidR="00445F8C" w:rsidRDefault="00084192">
            <w:pPr>
              <w:ind w:firstLineChars="0" w:firstLine="0"/>
              <w:jc w:val="center"/>
              <w:rPr>
                <w:rFonts w:eastAsia="仿宋"/>
                <w:b/>
                <w:bCs/>
                <w:sz w:val="24"/>
              </w:rPr>
            </w:pPr>
            <w:r>
              <w:rPr>
                <w:rFonts w:eastAsia="仿宋"/>
                <w:b/>
                <w:bCs/>
                <w:sz w:val="24"/>
              </w:rPr>
              <w:t>姓</w:t>
            </w:r>
            <w:r>
              <w:rPr>
                <w:rFonts w:eastAsia="仿宋"/>
                <w:b/>
                <w:bCs/>
                <w:sz w:val="24"/>
              </w:rPr>
              <w:t xml:space="preserve">  </w:t>
            </w:r>
            <w:r>
              <w:rPr>
                <w:rFonts w:eastAsia="仿宋"/>
                <w:b/>
                <w:bCs/>
                <w:sz w:val="24"/>
              </w:rPr>
              <w:t>名</w:t>
            </w:r>
          </w:p>
        </w:tc>
        <w:tc>
          <w:tcPr>
            <w:tcW w:w="824" w:type="pct"/>
            <w:tcBorders>
              <w:top w:val="single" w:sz="4" w:space="0" w:color="auto"/>
              <w:left w:val="single" w:sz="4" w:space="0" w:color="auto"/>
              <w:bottom w:val="single" w:sz="4" w:space="0" w:color="auto"/>
              <w:right w:val="single" w:sz="4" w:space="0" w:color="auto"/>
            </w:tcBorders>
            <w:vAlign w:val="center"/>
          </w:tcPr>
          <w:p w14:paraId="1DEB93B6" w14:textId="77777777" w:rsidR="00445F8C" w:rsidRDefault="00084192">
            <w:pPr>
              <w:ind w:firstLineChars="0" w:firstLine="0"/>
              <w:jc w:val="center"/>
              <w:rPr>
                <w:rFonts w:eastAsia="仿宋"/>
                <w:b/>
                <w:bCs/>
                <w:sz w:val="24"/>
              </w:rPr>
            </w:pPr>
            <w:r>
              <w:rPr>
                <w:rFonts w:eastAsia="仿宋"/>
                <w:b/>
                <w:bCs/>
                <w:sz w:val="24"/>
              </w:rPr>
              <w:t>职称</w:t>
            </w:r>
            <w:r>
              <w:rPr>
                <w:rFonts w:eastAsia="仿宋"/>
                <w:b/>
                <w:bCs/>
                <w:sz w:val="24"/>
              </w:rPr>
              <w:t>/</w:t>
            </w:r>
            <w:r>
              <w:rPr>
                <w:rFonts w:eastAsia="仿宋"/>
                <w:b/>
                <w:bCs/>
                <w:sz w:val="24"/>
              </w:rPr>
              <w:t>职位</w:t>
            </w:r>
          </w:p>
        </w:tc>
        <w:tc>
          <w:tcPr>
            <w:tcW w:w="1273" w:type="pct"/>
            <w:tcBorders>
              <w:top w:val="single" w:sz="4" w:space="0" w:color="auto"/>
              <w:left w:val="single" w:sz="4" w:space="0" w:color="auto"/>
              <w:bottom w:val="single" w:sz="4" w:space="0" w:color="auto"/>
              <w:right w:val="single" w:sz="4" w:space="0" w:color="auto"/>
            </w:tcBorders>
            <w:vAlign w:val="center"/>
          </w:tcPr>
          <w:p w14:paraId="718E5D38" w14:textId="77777777" w:rsidR="00445F8C" w:rsidRDefault="00084192">
            <w:pPr>
              <w:ind w:firstLineChars="0" w:firstLine="0"/>
              <w:jc w:val="center"/>
              <w:rPr>
                <w:rFonts w:eastAsia="仿宋"/>
                <w:b/>
                <w:bCs/>
                <w:sz w:val="24"/>
              </w:rPr>
            </w:pPr>
            <w:r>
              <w:rPr>
                <w:rFonts w:eastAsia="仿宋"/>
                <w:b/>
                <w:bCs/>
                <w:sz w:val="24"/>
              </w:rPr>
              <w:t>工作单位</w:t>
            </w:r>
          </w:p>
        </w:tc>
        <w:tc>
          <w:tcPr>
            <w:tcW w:w="2247" w:type="pct"/>
            <w:tcBorders>
              <w:top w:val="single" w:sz="4" w:space="0" w:color="auto"/>
              <w:left w:val="single" w:sz="4" w:space="0" w:color="auto"/>
              <w:bottom w:val="single" w:sz="4" w:space="0" w:color="auto"/>
              <w:right w:val="single" w:sz="4" w:space="0" w:color="auto"/>
            </w:tcBorders>
            <w:vAlign w:val="center"/>
          </w:tcPr>
          <w:p w14:paraId="7D9B1EB5" w14:textId="77777777" w:rsidR="00445F8C" w:rsidRDefault="00084192">
            <w:pPr>
              <w:ind w:firstLineChars="0" w:firstLine="0"/>
              <w:jc w:val="center"/>
              <w:rPr>
                <w:rFonts w:eastAsia="仿宋"/>
                <w:b/>
                <w:bCs/>
                <w:sz w:val="24"/>
              </w:rPr>
            </w:pPr>
            <w:r>
              <w:rPr>
                <w:rFonts w:eastAsia="仿宋"/>
                <w:b/>
                <w:bCs/>
                <w:sz w:val="24"/>
              </w:rPr>
              <w:t>主要负责工作</w:t>
            </w:r>
          </w:p>
        </w:tc>
      </w:tr>
      <w:tr w:rsidR="00445F8C" w14:paraId="5BB2C21B" w14:textId="77777777">
        <w:trPr>
          <w:cantSplit/>
          <w:trHeight w:val="732"/>
        </w:trPr>
        <w:tc>
          <w:tcPr>
            <w:tcW w:w="656" w:type="pct"/>
            <w:tcBorders>
              <w:top w:val="single" w:sz="4" w:space="0" w:color="auto"/>
              <w:left w:val="single" w:sz="4" w:space="0" w:color="auto"/>
              <w:bottom w:val="single" w:sz="4" w:space="0" w:color="auto"/>
              <w:right w:val="single" w:sz="4" w:space="0" w:color="008000"/>
            </w:tcBorders>
            <w:vAlign w:val="center"/>
          </w:tcPr>
          <w:p w14:paraId="724CA563" w14:textId="5744CC7A" w:rsidR="00445F8C" w:rsidRDefault="00850867">
            <w:pPr>
              <w:ind w:firstLineChars="0" w:firstLine="0"/>
              <w:jc w:val="center"/>
              <w:rPr>
                <w:sz w:val="24"/>
              </w:rPr>
            </w:pPr>
            <w:r>
              <w:rPr>
                <w:rFonts w:hint="eastAsia"/>
                <w:sz w:val="24"/>
              </w:rPr>
              <w:t>邓双</w:t>
            </w:r>
          </w:p>
        </w:tc>
        <w:tc>
          <w:tcPr>
            <w:tcW w:w="824" w:type="pct"/>
            <w:tcBorders>
              <w:top w:val="single" w:sz="4" w:space="0" w:color="auto"/>
              <w:left w:val="single" w:sz="4" w:space="0" w:color="auto"/>
              <w:bottom w:val="single" w:sz="4" w:space="0" w:color="auto"/>
              <w:right w:val="single" w:sz="4" w:space="0" w:color="auto"/>
            </w:tcBorders>
            <w:vAlign w:val="center"/>
          </w:tcPr>
          <w:p w14:paraId="0171C0F4" w14:textId="7F7064F8" w:rsidR="00445F8C" w:rsidRDefault="00850867">
            <w:pPr>
              <w:ind w:firstLineChars="0" w:firstLine="0"/>
              <w:jc w:val="center"/>
              <w:rPr>
                <w:sz w:val="24"/>
              </w:rPr>
            </w:pPr>
            <w:r>
              <w:rPr>
                <w:rFonts w:hint="eastAsia"/>
                <w:sz w:val="24"/>
              </w:rPr>
              <w:t>研究员</w:t>
            </w:r>
          </w:p>
        </w:tc>
        <w:tc>
          <w:tcPr>
            <w:tcW w:w="1273" w:type="pct"/>
            <w:tcBorders>
              <w:top w:val="single" w:sz="2" w:space="0" w:color="000000"/>
              <w:left w:val="single" w:sz="4" w:space="0" w:color="auto"/>
              <w:bottom w:val="single" w:sz="4" w:space="0" w:color="auto"/>
              <w:right w:val="single" w:sz="4" w:space="0" w:color="auto"/>
            </w:tcBorders>
            <w:vAlign w:val="center"/>
          </w:tcPr>
          <w:p w14:paraId="0403F908" w14:textId="6B710A9A" w:rsidR="00445F8C" w:rsidRDefault="00850867">
            <w:pPr>
              <w:ind w:firstLineChars="0" w:firstLine="0"/>
              <w:jc w:val="center"/>
              <w:rPr>
                <w:sz w:val="24"/>
              </w:rPr>
            </w:pPr>
            <w:r>
              <w:rPr>
                <w:rFonts w:hint="eastAsia"/>
                <w:sz w:val="24"/>
              </w:rPr>
              <w:t>中国环境科学研究院</w:t>
            </w:r>
          </w:p>
        </w:tc>
        <w:tc>
          <w:tcPr>
            <w:tcW w:w="2247" w:type="pct"/>
            <w:tcBorders>
              <w:top w:val="single" w:sz="4" w:space="0" w:color="auto"/>
              <w:left w:val="single" w:sz="4" w:space="0" w:color="auto"/>
              <w:bottom w:val="single" w:sz="4" w:space="0" w:color="auto"/>
              <w:right w:val="single" w:sz="4" w:space="0" w:color="auto"/>
            </w:tcBorders>
            <w:vAlign w:val="center"/>
          </w:tcPr>
          <w:p w14:paraId="277557B7" w14:textId="77777777" w:rsidR="00445F8C" w:rsidRDefault="00084192">
            <w:pPr>
              <w:ind w:firstLineChars="0" w:firstLine="0"/>
              <w:rPr>
                <w:sz w:val="24"/>
                <w:lang w:bidi="ar"/>
              </w:rPr>
            </w:pPr>
            <w:r>
              <w:rPr>
                <w:sz w:val="24"/>
                <w:lang w:bidi="ar"/>
              </w:rPr>
              <w:t>统筹主持标准编制工作</w:t>
            </w:r>
          </w:p>
        </w:tc>
      </w:tr>
      <w:tr w:rsidR="00445F8C" w14:paraId="01ED0A82"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73CD7051" w14:textId="1391D577" w:rsidR="00445F8C" w:rsidRDefault="00850867">
            <w:pPr>
              <w:ind w:firstLineChars="0" w:firstLine="0"/>
              <w:jc w:val="center"/>
              <w:rPr>
                <w:sz w:val="24"/>
              </w:rPr>
            </w:pPr>
            <w:r w:rsidRPr="00850867">
              <w:rPr>
                <w:sz w:val="24"/>
              </w:rPr>
              <w:t>王华生</w:t>
            </w:r>
          </w:p>
        </w:tc>
        <w:tc>
          <w:tcPr>
            <w:tcW w:w="824" w:type="pct"/>
            <w:tcBorders>
              <w:top w:val="single" w:sz="4" w:space="0" w:color="auto"/>
              <w:left w:val="single" w:sz="4" w:space="0" w:color="auto"/>
              <w:bottom w:val="single" w:sz="4" w:space="0" w:color="auto"/>
              <w:right w:val="single" w:sz="4" w:space="0" w:color="auto"/>
            </w:tcBorders>
            <w:vAlign w:val="center"/>
          </w:tcPr>
          <w:p w14:paraId="2B5AC82A" w14:textId="07A9CC96" w:rsidR="00445F8C" w:rsidRDefault="00850867">
            <w:pPr>
              <w:ind w:firstLineChars="0" w:firstLine="0"/>
              <w:jc w:val="center"/>
              <w:rPr>
                <w:sz w:val="24"/>
              </w:rPr>
            </w:pPr>
            <w:r w:rsidRPr="00850867">
              <w:rPr>
                <w:sz w:val="24"/>
              </w:rPr>
              <w:t>博士后</w:t>
            </w:r>
          </w:p>
        </w:tc>
        <w:tc>
          <w:tcPr>
            <w:tcW w:w="1273" w:type="pct"/>
            <w:tcBorders>
              <w:top w:val="single" w:sz="2" w:space="0" w:color="000000"/>
              <w:left w:val="single" w:sz="4" w:space="0" w:color="auto"/>
              <w:bottom w:val="single" w:sz="4" w:space="0" w:color="auto"/>
              <w:right w:val="single" w:sz="4" w:space="0" w:color="auto"/>
            </w:tcBorders>
            <w:vAlign w:val="center"/>
          </w:tcPr>
          <w:p w14:paraId="54BDCD19" w14:textId="0A4828B2" w:rsidR="00445F8C" w:rsidRDefault="00850867">
            <w:pPr>
              <w:ind w:firstLineChars="0" w:firstLine="0"/>
              <w:jc w:val="center"/>
              <w:rPr>
                <w:sz w:val="24"/>
              </w:rPr>
            </w:pPr>
            <w:r>
              <w:rPr>
                <w:rFonts w:hint="eastAsia"/>
                <w:sz w:val="24"/>
              </w:rPr>
              <w:t>中国科学院过程工程研究所</w:t>
            </w:r>
          </w:p>
        </w:tc>
        <w:tc>
          <w:tcPr>
            <w:tcW w:w="2247" w:type="pct"/>
            <w:tcBorders>
              <w:top w:val="single" w:sz="4" w:space="0" w:color="auto"/>
              <w:left w:val="single" w:sz="4" w:space="0" w:color="auto"/>
              <w:bottom w:val="single" w:sz="4" w:space="0" w:color="auto"/>
              <w:right w:val="single" w:sz="4" w:space="0" w:color="auto"/>
            </w:tcBorders>
            <w:vAlign w:val="center"/>
          </w:tcPr>
          <w:p w14:paraId="107209C2" w14:textId="77777777" w:rsidR="00445F8C" w:rsidRDefault="00084192">
            <w:pPr>
              <w:ind w:firstLineChars="0" w:firstLine="0"/>
              <w:rPr>
                <w:sz w:val="24"/>
                <w:lang w:bidi="ar"/>
              </w:rPr>
            </w:pPr>
            <w:r>
              <w:rPr>
                <w:sz w:val="24"/>
                <w:lang w:bidi="ar"/>
              </w:rPr>
              <w:t>参与标准编制工作，组织人员进行标准发布后的宣贯培训。</w:t>
            </w:r>
          </w:p>
        </w:tc>
      </w:tr>
      <w:tr w:rsidR="00445F8C" w14:paraId="2BBDB3E4"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7DB8C516" w14:textId="023FCC18" w:rsidR="00445F8C" w:rsidRDefault="00850867">
            <w:pPr>
              <w:ind w:firstLineChars="0" w:firstLine="0"/>
              <w:jc w:val="center"/>
              <w:rPr>
                <w:sz w:val="24"/>
              </w:rPr>
            </w:pPr>
            <w:r w:rsidRPr="00850867">
              <w:rPr>
                <w:sz w:val="24"/>
              </w:rPr>
              <w:t>甘昭旺</w:t>
            </w:r>
          </w:p>
        </w:tc>
        <w:tc>
          <w:tcPr>
            <w:tcW w:w="824" w:type="pct"/>
            <w:tcBorders>
              <w:top w:val="single" w:sz="4" w:space="0" w:color="auto"/>
              <w:left w:val="single" w:sz="4" w:space="0" w:color="auto"/>
              <w:bottom w:val="single" w:sz="4" w:space="0" w:color="auto"/>
              <w:right w:val="single" w:sz="4" w:space="0" w:color="auto"/>
            </w:tcBorders>
            <w:vAlign w:val="center"/>
          </w:tcPr>
          <w:p w14:paraId="346DCF1D" w14:textId="025206BD" w:rsidR="00445F8C" w:rsidRDefault="00850867">
            <w:pPr>
              <w:ind w:firstLineChars="0" w:firstLine="0"/>
              <w:jc w:val="center"/>
              <w:rPr>
                <w:sz w:val="24"/>
              </w:rPr>
            </w:pPr>
            <w:r w:rsidRPr="00850867">
              <w:rPr>
                <w:sz w:val="24"/>
              </w:rPr>
              <w:t>研究助理</w:t>
            </w:r>
          </w:p>
        </w:tc>
        <w:tc>
          <w:tcPr>
            <w:tcW w:w="1273" w:type="pct"/>
            <w:tcBorders>
              <w:top w:val="single" w:sz="2" w:space="0" w:color="000000"/>
              <w:left w:val="single" w:sz="4" w:space="0" w:color="auto"/>
              <w:bottom w:val="single" w:sz="4" w:space="0" w:color="auto"/>
              <w:right w:val="single" w:sz="4" w:space="0" w:color="auto"/>
            </w:tcBorders>
            <w:vAlign w:val="center"/>
          </w:tcPr>
          <w:p w14:paraId="73AF4826" w14:textId="3B374CB7" w:rsidR="00445F8C" w:rsidRDefault="00850867">
            <w:pPr>
              <w:ind w:firstLineChars="0" w:firstLine="0"/>
              <w:jc w:val="center"/>
              <w:rPr>
                <w:sz w:val="24"/>
              </w:rPr>
            </w:pPr>
            <w:r>
              <w:rPr>
                <w:rFonts w:hint="eastAsia"/>
                <w:sz w:val="24"/>
              </w:rPr>
              <w:t>中国科学院过程工程研究所</w:t>
            </w:r>
          </w:p>
        </w:tc>
        <w:tc>
          <w:tcPr>
            <w:tcW w:w="2247" w:type="pct"/>
            <w:tcBorders>
              <w:top w:val="single" w:sz="4" w:space="0" w:color="auto"/>
              <w:left w:val="single" w:sz="4" w:space="0" w:color="auto"/>
              <w:bottom w:val="single" w:sz="4" w:space="0" w:color="auto"/>
              <w:right w:val="single" w:sz="4" w:space="0" w:color="auto"/>
            </w:tcBorders>
            <w:vAlign w:val="center"/>
          </w:tcPr>
          <w:p w14:paraId="266FD7FC" w14:textId="77777777" w:rsidR="00445F8C" w:rsidRDefault="00084192">
            <w:pPr>
              <w:ind w:firstLineChars="0" w:firstLine="0"/>
              <w:rPr>
                <w:sz w:val="24"/>
                <w:lang w:bidi="ar"/>
              </w:rPr>
            </w:pPr>
            <w:r>
              <w:rPr>
                <w:sz w:val="24"/>
                <w:lang w:bidi="ar"/>
              </w:rPr>
              <w:t>参与标准文本及编制说明编写，质量控制。</w:t>
            </w:r>
          </w:p>
        </w:tc>
      </w:tr>
      <w:tr w:rsidR="00445F8C" w14:paraId="2DBAAE46"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27AB0766" w14:textId="3ABCB512" w:rsidR="00445F8C" w:rsidRDefault="00850867">
            <w:pPr>
              <w:ind w:firstLineChars="0" w:firstLine="0"/>
              <w:jc w:val="center"/>
              <w:rPr>
                <w:sz w:val="24"/>
              </w:rPr>
            </w:pPr>
            <w:r w:rsidRPr="00850867">
              <w:rPr>
                <w:sz w:val="24"/>
              </w:rPr>
              <w:t>王建春</w:t>
            </w:r>
          </w:p>
        </w:tc>
        <w:tc>
          <w:tcPr>
            <w:tcW w:w="824" w:type="pct"/>
            <w:tcBorders>
              <w:top w:val="single" w:sz="4" w:space="0" w:color="auto"/>
              <w:left w:val="single" w:sz="4" w:space="0" w:color="auto"/>
              <w:bottom w:val="single" w:sz="4" w:space="0" w:color="auto"/>
              <w:right w:val="single" w:sz="4" w:space="0" w:color="auto"/>
            </w:tcBorders>
            <w:vAlign w:val="center"/>
          </w:tcPr>
          <w:p w14:paraId="6747982A" w14:textId="6BD7C89F" w:rsidR="00445F8C" w:rsidRDefault="00850452">
            <w:pPr>
              <w:ind w:firstLineChars="0" w:firstLine="0"/>
              <w:jc w:val="center"/>
              <w:rPr>
                <w:sz w:val="24"/>
              </w:rPr>
            </w:pPr>
            <w:r w:rsidRPr="00850452">
              <w:rPr>
                <w:sz w:val="24"/>
              </w:rPr>
              <w:t>教授级高级工程师</w:t>
            </w:r>
          </w:p>
        </w:tc>
        <w:tc>
          <w:tcPr>
            <w:tcW w:w="1273" w:type="pct"/>
            <w:tcBorders>
              <w:top w:val="single" w:sz="2" w:space="0" w:color="000000"/>
              <w:left w:val="single" w:sz="4" w:space="0" w:color="auto"/>
              <w:bottom w:val="single" w:sz="4" w:space="0" w:color="auto"/>
              <w:right w:val="single" w:sz="4" w:space="0" w:color="auto"/>
            </w:tcBorders>
            <w:vAlign w:val="center"/>
          </w:tcPr>
          <w:p w14:paraId="719BC0B5" w14:textId="77777777" w:rsidR="00850452" w:rsidRDefault="00850452">
            <w:pPr>
              <w:ind w:firstLineChars="0" w:firstLine="0"/>
              <w:jc w:val="center"/>
              <w:rPr>
                <w:sz w:val="24"/>
              </w:rPr>
            </w:pPr>
            <w:proofErr w:type="gramStart"/>
            <w:r w:rsidRPr="00850452">
              <w:rPr>
                <w:sz w:val="24"/>
              </w:rPr>
              <w:t>福建龙净环保</w:t>
            </w:r>
            <w:proofErr w:type="gramEnd"/>
            <w:r w:rsidRPr="00850452">
              <w:rPr>
                <w:sz w:val="24"/>
              </w:rPr>
              <w:t>股份</w:t>
            </w:r>
          </w:p>
          <w:p w14:paraId="40A5615E" w14:textId="21EF3A49" w:rsidR="00445F8C" w:rsidRDefault="00850452">
            <w:pPr>
              <w:ind w:firstLineChars="0" w:firstLine="0"/>
              <w:jc w:val="center"/>
              <w:rPr>
                <w:sz w:val="24"/>
              </w:rPr>
            </w:pPr>
            <w:r w:rsidRPr="00850452">
              <w:rPr>
                <w:sz w:val="24"/>
              </w:rPr>
              <w:t>有限公司</w:t>
            </w:r>
          </w:p>
        </w:tc>
        <w:tc>
          <w:tcPr>
            <w:tcW w:w="2247" w:type="pct"/>
            <w:tcBorders>
              <w:top w:val="single" w:sz="4" w:space="0" w:color="auto"/>
              <w:left w:val="single" w:sz="4" w:space="0" w:color="auto"/>
              <w:bottom w:val="single" w:sz="4" w:space="0" w:color="auto"/>
              <w:right w:val="single" w:sz="4" w:space="0" w:color="auto"/>
            </w:tcBorders>
            <w:vAlign w:val="center"/>
          </w:tcPr>
          <w:p w14:paraId="23953262" w14:textId="0D809B1C" w:rsidR="00445F8C" w:rsidRDefault="00084192">
            <w:pPr>
              <w:ind w:firstLineChars="0" w:firstLine="0"/>
              <w:rPr>
                <w:sz w:val="24"/>
                <w:lang w:bidi="ar"/>
              </w:rPr>
            </w:pPr>
            <w:r>
              <w:rPr>
                <w:sz w:val="24"/>
                <w:lang w:bidi="ar"/>
              </w:rPr>
              <w:t>参与标准文本及编制说明编写；</w:t>
            </w:r>
            <w:r w:rsidR="000D0B54">
              <w:rPr>
                <w:rFonts w:hint="eastAsia"/>
                <w:sz w:val="24"/>
                <w:lang w:bidi="ar"/>
              </w:rPr>
              <w:t>参与</w:t>
            </w:r>
            <w:r>
              <w:rPr>
                <w:sz w:val="24"/>
                <w:lang w:bidi="ar"/>
              </w:rPr>
              <w:t>开展标准征求意见会</w:t>
            </w:r>
            <w:r>
              <w:rPr>
                <w:rFonts w:hint="eastAsia"/>
                <w:sz w:val="24"/>
                <w:lang w:bidi="ar"/>
              </w:rPr>
              <w:t>。</w:t>
            </w:r>
          </w:p>
        </w:tc>
      </w:tr>
      <w:tr w:rsidR="00445F8C" w14:paraId="733BE7F1"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6DBC70A5" w14:textId="37A95D09" w:rsidR="00445F8C" w:rsidRDefault="00850867">
            <w:pPr>
              <w:ind w:firstLineChars="0" w:firstLine="0"/>
              <w:jc w:val="center"/>
              <w:rPr>
                <w:sz w:val="24"/>
              </w:rPr>
            </w:pPr>
            <w:r w:rsidRPr="00850867">
              <w:rPr>
                <w:sz w:val="24"/>
              </w:rPr>
              <w:t>陈雄波</w:t>
            </w:r>
          </w:p>
        </w:tc>
        <w:tc>
          <w:tcPr>
            <w:tcW w:w="824" w:type="pct"/>
            <w:tcBorders>
              <w:top w:val="single" w:sz="4" w:space="0" w:color="auto"/>
              <w:left w:val="single" w:sz="4" w:space="0" w:color="auto"/>
              <w:bottom w:val="single" w:sz="4" w:space="0" w:color="auto"/>
              <w:right w:val="single" w:sz="4" w:space="0" w:color="auto"/>
            </w:tcBorders>
            <w:vAlign w:val="center"/>
          </w:tcPr>
          <w:p w14:paraId="713A5323" w14:textId="02140291" w:rsidR="00445F8C" w:rsidRDefault="00850452">
            <w:pPr>
              <w:ind w:firstLineChars="0" w:firstLine="0"/>
              <w:jc w:val="center"/>
              <w:rPr>
                <w:sz w:val="24"/>
              </w:rPr>
            </w:pPr>
            <w:r>
              <w:rPr>
                <w:rFonts w:hint="eastAsia"/>
                <w:sz w:val="24"/>
              </w:rPr>
              <w:t>研究员</w:t>
            </w:r>
          </w:p>
        </w:tc>
        <w:tc>
          <w:tcPr>
            <w:tcW w:w="1273" w:type="pct"/>
            <w:tcBorders>
              <w:top w:val="single" w:sz="2" w:space="0" w:color="000000"/>
              <w:left w:val="single" w:sz="4" w:space="0" w:color="auto"/>
              <w:bottom w:val="single" w:sz="4" w:space="0" w:color="auto"/>
              <w:right w:val="single" w:sz="4" w:space="0" w:color="auto"/>
            </w:tcBorders>
            <w:vAlign w:val="center"/>
          </w:tcPr>
          <w:p w14:paraId="659466D0" w14:textId="3B220307" w:rsidR="00445F8C" w:rsidRDefault="00E6212C">
            <w:pPr>
              <w:ind w:firstLineChars="0" w:firstLine="0"/>
              <w:jc w:val="center"/>
              <w:rPr>
                <w:sz w:val="24"/>
              </w:rPr>
            </w:pPr>
            <w:r w:rsidRPr="00E6212C">
              <w:rPr>
                <w:sz w:val="24"/>
              </w:rPr>
              <w:t>生态环境部华南环境科学研究所</w:t>
            </w:r>
          </w:p>
        </w:tc>
        <w:tc>
          <w:tcPr>
            <w:tcW w:w="2247" w:type="pct"/>
            <w:tcBorders>
              <w:top w:val="single" w:sz="4" w:space="0" w:color="auto"/>
              <w:left w:val="single" w:sz="4" w:space="0" w:color="auto"/>
              <w:bottom w:val="single" w:sz="4" w:space="0" w:color="auto"/>
              <w:right w:val="single" w:sz="4" w:space="0" w:color="auto"/>
            </w:tcBorders>
            <w:vAlign w:val="center"/>
          </w:tcPr>
          <w:p w14:paraId="09393892" w14:textId="19CB3EEA" w:rsidR="00445F8C" w:rsidRDefault="00084192">
            <w:pPr>
              <w:ind w:firstLineChars="0" w:firstLine="0"/>
              <w:rPr>
                <w:sz w:val="24"/>
                <w:lang w:bidi="ar"/>
              </w:rPr>
            </w:pPr>
            <w:r>
              <w:rPr>
                <w:sz w:val="24"/>
                <w:lang w:bidi="ar"/>
              </w:rPr>
              <w:t>参与标准文本及编制说明编写；</w:t>
            </w:r>
            <w:r w:rsidR="000D0B54">
              <w:rPr>
                <w:rFonts w:hint="eastAsia"/>
                <w:sz w:val="24"/>
                <w:lang w:bidi="ar"/>
              </w:rPr>
              <w:t>参与</w:t>
            </w:r>
            <w:r>
              <w:rPr>
                <w:sz w:val="24"/>
                <w:lang w:bidi="ar"/>
              </w:rPr>
              <w:t>开展标准征求意见会</w:t>
            </w:r>
            <w:r w:rsidR="000D0B54">
              <w:rPr>
                <w:rFonts w:hint="eastAsia"/>
                <w:sz w:val="24"/>
                <w:lang w:bidi="ar"/>
              </w:rPr>
              <w:t>。</w:t>
            </w:r>
          </w:p>
        </w:tc>
      </w:tr>
      <w:tr w:rsidR="00445F8C" w14:paraId="162D3A1F"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5C3DFD83" w14:textId="34572897" w:rsidR="00445F8C" w:rsidRDefault="00850867">
            <w:pPr>
              <w:ind w:firstLineChars="0" w:firstLine="0"/>
              <w:jc w:val="center"/>
              <w:rPr>
                <w:sz w:val="24"/>
              </w:rPr>
            </w:pPr>
            <w:r w:rsidRPr="00850867">
              <w:rPr>
                <w:sz w:val="24"/>
              </w:rPr>
              <w:t>杨霞</w:t>
            </w:r>
          </w:p>
        </w:tc>
        <w:tc>
          <w:tcPr>
            <w:tcW w:w="824" w:type="pct"/>
            <w:tcBorders>
              <w:top w:val="single" w:sz="4" w:space="0" w:color="auto"/>
              <w:left w:val="single" w:sz="4" w:space="0" w:color="auto"/>
              <w:bottom w:val="single" w:sz="4" w:space="0" w:color="auto"/>
              <w:right w:val="single" w:sz="4" w:space="0" w:color="auto"/>
            </w:tcBorders>
            <w:vAlign w:val="center"/>
          </w:tcPr>
          <w:p w14:paraId="51337942" w14:textId="0D5D8CF7" w:rsidR="00445F8C" w:rsidRDefault="000D0B54">
            <w:pPr>
              <w:ind w:firstLineChars="0" w:firstLine="0"/>
              <w:jc w:val="center"/>
              <w:rPr>
                <w:sz w:val="24"/>
              </w:rPr>
            </w:pPr>
            <w:r w:rsidRPr="000D0B54">
              <w:rPr>
                <w:sz w:val="24"/>
              </w:rPr>
              <w:t>研究实习员</w:t>
            </w:r>
          </w:p>
        </w:tc>
        <w:tc>
          <w:tcPr>
            <w:tcW w:w="1273" w:type="pct"/>
            <w:tcBorders>
              <w:top w:val="single" w:sz="2" w:space="0" w:color="000000"/>
              <w:left w:val="single" w:sz="4" w:space="0" w:color="auto"/>
              <w:bottom w:val="single" w:sz="4" w:space="0" w:color="auto"/>
              <w:right w:val="single" w:sz="4" w:space="0" w:color="auto"/>
            </w:tcBorders>
            <w:vAlign w:val="center"/>
          </w:tcPr>
          <w:p w14:paraId="3EBFBDAE" w14:textId="2F42D324" w:rsidR="00445F8C" w:rsidRDefault="00E6212C">
            <w:pPr>
              <w:ind w:firstLineChars="0" w:firstLine="0"/>
              <w:jc w:val="center"/>
              <w:rPr>
                <w:sz w:val="24"/>
              </w:rPr>
            </w:pPr>
            <w:r w:rsidRPr="00E6212C">
              <w:rPr>
                <w:sz w:val="24"/>
              </w:rPr>
              <w:t>生态环境部华南环境科学研究所</w:t>
            </w:r>
          </w:p>
        </w:tc>
        <w:tc>
          <w:tcPr>
            <w:tcW w:w="2247" w:type="pct"/>
            <w:tcBorders>
              <w:top w:val="single" w:sz="4" w:space="0" w:color="auto"/>
              <w:left w:val="single" w:sz="4" w:space="0" w:color="auto"/>
              <w:bottom w:val="single" w:sz="4" w:space="0" w:color="auto"/>
              <w:right w:val="single" w:sz="4" w:space="0" w:color="auto"/>
            </w:tcBorders>
            <w:vAlign w:val="center"/>
          </w:tcPr>
          <w:p w14:paraId="5CDC9AD8" w14:textId="213F6E71" w:rsidR="00445F8C" w:rsidRDefault="000D0B54">
            <w:pPr>
              <w:ind w:firstLineChars="0" w:firstLine="0"/>
              <w:rPr>
                <w:sz w:val="24"/>
                <w:lang w:bidi="ar"/>
              </w:rPr>
            </w:pPr>
            <w:r>
              <w:rPr>
                <w:rFonts w:hint="eastAsia"/>
                <w:sz w:val="24"/>
                <w:lang w:bidi="ar"/>
              </w:rPr>
              <w:t>参与</w:t>
            </w:r>
            <w:r>
              <w:rPr>
                <w:sz w:val="24"/>
                <w:lang w:bidi="ar"/>
              </w:rPr>
              <w:t>开展标准征求意见会</w:t>
            </w:r>
            <w:r w:rsidR="007053F4">
              <w:rPr>
                <w:rFonts w:hint="eastAsia"/>
                <w:sz w:val="24"/>
                <w:lang w:bidi="ar"/>
              </w:rPr>
              <w:t>；</w:t>
            </w:r>
            <w:r w:rsidR="007053F4" w:rsidRPr="007053F4">
              <w:rPr>
                <w:sz w:val="24"/>
                <w:lang w:bidi="ar"/>
              </w:rPr>
              <w:t>不断对地方标准提出修正意见。</w:t>
            </w:r>
          </w:p>
        </w:tc>
      </w:tr>
      <w:tr w:rsidR="00445F8C" w14:paraId="0D394967"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601B6F15" w14:textId="3B16BAFA" w:rsidR="00445F8C" w:rsidRDefault="00850867">
            <w:pPr>
              <w:ind w:firstLineChars="0" w:firstLine="0"/>
              <w:jc w:val="center"/>
              <w:rPr>
                <w:sz w:val="24"/>
              </w:rPr>
            </w:pPr>
            <w:r w:rsidRPr="00850867">
              <w:rPr>
                <w:sz w:val="24"/>
              </w:rPr>
              <w:lastRenderedPageBreak/>
              <w:t>陈建军</w:t>
            </w:r>
          </w:p>
        </w:tc>
        <w:tc>
          <w:tcPr>
            <w:tcW w:w="824" w:type="pct"/>
            <w:tcBorders>
              <w:top w:val="single" w:sz="4" w:space="0" w:color="auto"/>
              <w:left w:val="single" w:sz="4" w:space="0" w:color="auto"/>
              <w:bottom w:val="single" w:sz="4" w:space="0" w:color="auto"/>
              <w:right w:val="single" w:sz="4" w:space="0" w:color="auto"/>
            </w:tcBorders>
            <w:vAlign w:val="center"/>
          </w:tcPr>
          <w:p w14:paraId="17815ED5" w14:textId="4E0A688C" w:rsidR="00445F8C" w:rsidRDefault="000D0B54">
            <w:pPr>
              <w:ind w:firstLineChars="0" w:firstLine="0"/>
              <w:jc w:val="center"/>
              <w:rPr>
                <w:sz w:val="24"/>
              </w:rPr>
            </w:pPr>
            <w:r w:rsidRPr="000D0B54">
              <w:rPr>
                <w:sz w:val="24"/>
              </w:rPr>
              <w:t>副研究员</w:t>
            </w:r>
          </w:p>
        </w:tc>
        <w:tc>
          <w:tcPr>
            <w:tcW w:w="1273" w:type="pct"/>
            <w:tcBorders>
              <w:top w:val="single" w:sz="2" w:space="0" w:color="000000"/>
              <w:left w:val="single" w:sz="4" w:space="0" w:color="auto"/>
              <w:bottom w:val="single" w:sz="2" w:space="0" w:color="000000"/>
              <w:right w:val="single" w:sz="4" w:space="0" w:color="auto"/>
            </w:tcBorders>
            <w:vAlign w:val="center"/>
          </w:tcPr>
          <w:p w14:paraId="591FE1ED" w14:textId="41DAA090" w:rsidR="00445F8C" w:rsidRDefault="00E6212C">
            <w:pPr>
              <w:ind w:firstLineChars="0" w:firstLine="0"/>
              <w:jc w:val="center"/>
              <w:rPr>
                <w:sz w:val="24"/>
              </w:rPr>
            </w:pPr>
            <w:r>
              <w:rPr>
                <w:rFonts w:hint="eastAsia"/>
                <w:sz w:val="24"/>
              </w:rPr>
              <w:t>清华大学</w:t>
            </w:r>
          </w:p>
        </w:tc>
        <w:tc>
          <w:tcPr>
            <w:tcW w:w="2247" w:type="pct"/>
            <w:tcBorders>
              <w:top w:val="single" w:sz="4" w:space="0" w:color="auto"/>
              <w:left w:val="single" w:sz="4" w:space="0" w:color="auto"/>
              <w:bottom w:val="single" w:sz="4" w:space="0" w:color="auto"/>
              <w:right w:val="single" w:sz="4" w:space="0" w:color="auto"/>
            </w:tcBorders>
            <w:vAlign w:val="center"/>
          </w:tcPr>
          <w:p w14:paraId="372B250E" w14:textId="25396443" w:rsidR="00445F8C" w:rsidRDefault="00084192">
            <w:pPr>
              <w:ind w:firstLineChars="0" w:firstLine="0"/>
              <w:rPr>
                <w:sz w:val="24"/>
                <w:lang w:bidi="ar"/>
              </w:rPr>
            </w:pPr>
            <w:r>
              <w:rPr>
                <w:sz w:val="24"/>
                <w:lang w:bidi="ar"/>
              </w:rPr>
              <w:t>参与标准文本及编制说明编写；</w:t>
            </w:r>
            <w:r w:rsidR="000D0B54">
              <w:rPr>
                <w:rFonts w:hint="eastAsia"/>
                <w:sz w:val="24"/>
                <w:lang w:bidi="ar"/>
              </w:rPr>
              <w:t>参与</w:t>
            </w:r>
            <w:r>
              <w:rPr>
                <w:sz w:val="24"/>
                <w:lang w:bidi="ar"/>
              </w:rPr>
              <w:t>开展标准征求意见会。</w:t>
            </w:r>
          </w:p>
        </w:tc>
      </w:tr>
      <w:tr w:rsidR="00445F8C" w14:paraId="3B8CFE89"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69C1BA8C" w14:textId="4C4993F4" w:rsidR="00445F8C" w:rsidRDefault="00850867">
            <w:pPr>
              <w:ind w:firstLineChars="0" w:firstLine="0"/>
              <w:jc w:val="center"/>
              <w:rPr>
                <w:sz w:val="24"/>
              </w:rPr>
            </w:pPr>
            <w:r w:rsidRPr="00850867">
              <w:rPr>
                <w:sz w:val="24"/>
              </w:rPr>
              <w:t>王海强</w:t>
            </w:r>
          </w:p>
        </w:tc>
        <w:tc>
          <w:tcPr>
            <w:tcW w:w="824" w:type="pct"/>
            <w:tcBorders>
              <w:top w:val="single" w:sz="4" w:space="0" w:color="auto"/>
              <w:left w:val="single" w:sz="4" w:space="0" w:color="auto"/>
              <w:bottom w:val="single" w:sz="4" w:space="0" w:color="auto"/>
              <w:right w:val="single" w:sz="4" w:space="0" w:color="auto"/>
            </w:tcBorders>
            <w:vAlign w:val="center"/>
          </w:tcPr>
          <w:p w14:paraId="481E8DA9" w14:textId="08F44DE4" w:rsidR="00445F8C" w:rsidRDefault="000D0B54">
            <w:pPr>
              <w:ind w:firstLineChars="0" w:firstLine="0"/>
              <w:jc w:val="center"/>
              <w:rPr>
                <w:sz w:val="24"/>
              </w:rPr>
            </w:pPr>
            <w:r w:rsidRPr="000D0B54">
              <w:rPr>
                <w:sz w:val="24"/>
              </w:rPr>
              <w:t>教授</w:t>
            </w:r>
          </w:p>
        </w:tc>
        <w:tc>
          <w:tcPr>
            <w:tcW w:w="1273" w:type="pct"/>
            <w:tcBorders>
              <w:top w:val="single" w:sz="2" w:space="0" w:color="000000"/>
              <w:left w:val="single" w:sz="4" w:space="0" w:color="auto"/>
              <w:bottom w:val="single" w:sz="2" w:space="0" w:color="000000"/>
              <w:right w:val="single" w:sz="4" w:space="0" w:color="auto"/>
            </w:tcBorders>
            <w:vAlign w:val="center"/>
          </w:tcPr>
          <w:p w14:paraId="572D6F73" w14:textId="4A69F35C" w:rsidR="00445F8C" w:rsidRDefault="00E6212C">
            <w:pPr>
              <w:ind w:firstLineChars="0" w:firstLine="0"/>
              <w:jc w:val="center"/>
              <w:rPr>
                <w:sz w:val="24"/>
              </w:rPr>
            </w:pPr>
            <w:r w:rsidRPr="00E6212C">
              <w:rPr>
                <w:sz w:val="24"/>
              </w:rPr>
              <w:t>浙江大学</w:t>
            </w:r>
          </w:p>
        </w:tc>
        <w:tc>
          <w:tcPr>
            <w:tcW w:w="2247" w:type="pct"/>
            <w:tcBorders>
              <w:top w:val="single" w:sz="4" w:space="0" w:color="auto"/>
              <w:left w:val="single" w:sz="4" w:space="0" w:color="auto"/>
              <w:bottom w:val="single" w:sz="4" w:space="0" w:color="auto"/>
              <w:right w:val="single" w:sz="4" w:space="0" w:color="auto"/>
            </w:tcBorders>
            <w:vAlign w:val="center"/>
          </w:tcPr>
          <w:p w14:paraId="05196D91" w14:textId="77777777" w:rsidR="00445F8C" w:rsidRDefault="00084192">
            <w:pPr>
              <w:ind w:firstLineChars="0" w:firstLine="0"/>
              <w:rPr>
                <w:sz w:val="24"/>
                <w:lang w:bidi="ar"/>
              </w:rPr>
            </w:pPr>
            <w:r>
              <w:rPr>
                <w:sz w:val="24"/>
                <w:lang w:bidi="ar"/>
              </w:rPr>
              <w:t>对标准实施情况进行总结分析，不断对地方标准提出修正意见。</w:t>
            </w:r>
          </w:p>
        </w:tc>
      </w:tr>
      <w:tr w:rsidR="00445F8C" w14:paraId="4DBE29DE"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2B0DA3B7" w14:textId="1F7AF3BA" w:rsidR="00445F8C" w:rsidRDefault="00850867">
            <w:pPr>
              <w:ind w:firstLineChars="0" w:firstLine="0"/>
              <w:jc w:val="center"/>
              <w:rPr>
                <w:sz w:val="24"/>
              </w:rPr>
            </w:pPr>
            <w:r w:rsidRPr="00850867">
              <w:rPr>
                <w:sz w:val="24"/>
              </w:rPr>
              <w:t>刘越</w:t>
            </w:r>
          </w:p>
        </w:tc>
        <w:tc>
          <w:tcPr>
            <w:tcW w:w="824" w:type="pct"/>
            <w:tcBorders>
              <w:top w:val="single" w:sz="4" w:space="0" w:color="auto"/>
              <w:left w:val="single" w:sz="4" w:space="0" w:color="auto"/>
              <w:bottom w:val="single" w:sz="4" w:space="0" w:color="auto"/>
              <w:right w:val="single" w:sz="4" w:space="0" w:color="auto"/>
            </w:tcBorders>
            <w:vAlign w:val="center"/>
          </w:tcPr>
          <w:p w14:paraId="454E6412" w14:textId="77ADEE94" w:rsidR="00445F8C" w:rsidRDefault="000D0B54">
            <w:pPr>
              <w:ind w:firstLineChars="0" w:firstLine="0"/>
              <w:jc w:val="center"/>
              <w:rPr>
                <w:sz w:val="24"/>
              </w:rPr>
            </w:pPr>
            <w:r w:rsidRPr="000D0B54">
              <w:rPr>
                <w:sz w:val="24"/>
              </w:rPr>
              <w:t>教授</w:t>
            </w:r>
          </w:p>
        </w:tc>
        <w:tc>
          <w:tcPr>
            <w:tcW w:w="1273" w:type="pct"/>
            <w:tcBorders>
              <w:top w:val="single" w:sz="2" w:space="0" w:color="000000"/>
              <w:left w:val="single" w:sz="4" w:space="0" w:color="auto"/>
              <w:bottom w:val="single" w:sz="2" w:space="0" w:color="000000"/>
              <w:right w:val="single" w:sz="4" w:space="0" w:color="auto"/>
            </w:tcBorders>
            <w:vAlign w:val="center"/>
          </w:tcPr>
          <w:p w14:paraId="6B61D00B" w14:textId="72321CE8" w:rsidR="00445F8C" w:rsidRDefault="00E6212C">
            <w:pPr>
              <w:ind w:firstLineChars="0" w:firstLine="0"/>
              <w:jc w:val="center"/>
              <w:rPr>
                <w:sz w:val="24"/>
              </w:rPr>
            </w:pPr>
            <w:r>
              <w:rPr>
                <w:rFonts w:hint="eastAsia"/>
                <w:sz w:val="24"/>
              </w:rPr>
              <w:t>浙江大学</w:t>
            </w:r>
          </w:p>
        </w:tc>
        <w:tc>
          <w:tcPr>
            <w:tcW w:w="2247" w:type="pct"/>
            <w:tcBorders>
              <w:top w:val="single" w:sz="4" w:space="0" w:color="auto"/>
              <w:left w:val="single" w:sz="4" w:space="0" w:color="auto"/>
              <w:bottom w:val="single" w:sz="4" w:space="0" w:color="auto"/>
              <w:right w:val="single" w:sz="4" w:space="0" w:color="auto"/>
            </w:tcBorders>
            <w:vAlign w:val="center"/>
          </w:tcPr>
          <w:p w14:paraId="2277171B" w14:textId="77777777" w:rsidR="00445F8C" w:rsidRDefault="00084192">
            <w:pPr>
              <w:ind w:firstLineChars="0" w:firstLine="0"/>
              <w:rPr>
                <w:sz w:val="24"/>
                <w:lang w:bidi="ar"/>
              </w:rPr>
            </w:pPr>
            <w:r>
              <w:rPr>
                <w:sz w:val="24"/>
                <w:lang w:bidi="ar"/>
              </w:rPr>
              <w:t>对标准实施情况进行总结分析，不断对地方标准提出修正意见。</w:t>
            </w:r>
          </w:p>
        </w:tc>
      </w:tr>
      <w:tr w:rsidR="00DD7317" w14:paraId="16ACDCE0"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1EF0BDC0" w14:textId="3A4DD1E7" w:rsidR="00DD7317" w:rsidRPr="00850867" w:rsidRDefault="00DD7317">
            <w:pPr>
              <w:ind w:firstLineChars="0" w:firstLine="0"/>
              <w:jc w:val="center"/>
              <w:rPr>
                <w:sz w:val="24"/>
              </w:rPr>
            </w:pPr>
            <w:r w:rsidRPr="00DD7317">
              <w:rPr>
                <w:rFonts w:hint="eastAsia"/>
                <w:sz w:val="24"/>
              </w:rPr>
              <w:t>张建星</w:t>
            </w:r>
          </w:p>
        </w:tc>
        <w:tc>
          <w:tcPr>
            <w:tcW w:w="824" w:type="pct"/>
            <w:tcBorders>
              <w:top w:val="single" w:sz="4" w:space="0" w:color="auto"/>
              <w:left w:val="single" w:sz="4" w:space="0" w:color="auto"/>
              <w:bottom w:val="single" w:sz="4" w:space="0" w:color="auto"/>
              <w:right w:val="single" w:sz="4" w:space="0" w:color="auto"/>
            </w:tcBorders>
            <w:vAlign w:val="center"/>
          </w:tcPr>
          <w:p w14:paraId="14AC363C" w14:textId="0B1D6EFA" w:rsidR="00DD7317" w:rsidRPr="000D0B54" w:rsidRDefault="00DD7317">
            <w:pPr>
              <w:ind w:firstLineChars="0" w:firstLine="0"/>
              <w:jc w:val="center"/>
              <w:rPr>
                <w:sz w:val="24"/>
              </w:rPr>
            </w:pPr>
            <w:r w:rsidRPr="00DD7317">
              <w:rPr>
                <w:rFonts w:hint="eastAsia"/>
                <w:sz w:val="24"/>
              </w:rPr>
              <w:t>高级工程师</w:t>
            </w:r>
          </w:p>
        </w:tc>
        <w:tc>
          <w:tcPr>
            <w:tcW w:w="1273" w:type="pct"/>
            <w:tcBorders>
              <w:top w:val="single" w:sz="2" w:space="0" w:color="000000"/>
              <w:left w:val="single" w:sz="4" w:space="0" w:color="auto"/>
              <w:bottom w:val="single" w:sz="2" w:space="0" w:color="000000"/>
              <w:right w:val="single" w:sz="4" w:space="0" w:color="auto"/>
            </w:tcBorders>
            <w:vAlign w:val="center"/>
          </w:tcPr>
          <w:p w14:paraId="2DA95A37" w14:textId="5817A66F" w:rsidR="00DD7317" w:rsidRDefault="00DD7317">
            <w:pPr>
              <w:ind w:firstLineChars="0" w:firstLine="0"/>
              <w:jc w:val="center"/>
              <w:rPr>
                <w:sz w:val="24"/>
              </w:rPr>
            </w:pPr>
            <w:r w:rsidRPr="00DD7317">
              <w:rPr>
                <w:rFonts w:hint="eastAsia"/>
                <w:sz w:val="24"/>
              </w:rPr>
              <w:t>邯郸市环境监控中心</w:t>
            </w:r>
          </w:p>
        </w:tc>
        <w:tc>
          <w:tcPr>
            <w:tcW w:w="2247" w:type="pct"/>
            <w:tcBorders>
              <w:top w:val="single" w:sz="4" w:space="0" w:color="auto"/>
              <w:left w:val="single" w:sz="4" w:space="0" w:color="auto"/>
              <w:bottom w:val="single" w:sz="4" w:space="0" w:color="auto"/>
              <w:right w:val="single" w:sz="4" w:space="0" w:color="auto"/>
            </w:tcBorders>
            <w:vAlign w:val="center"/>
          </w:tcPr>
          <w:p w14:paraId="54F6AF38" w14:textId="5075B1BD" w:rsidR="00DD7317" w:rsidRDefault="00DD7317">
            <w:pPr>
              <w:ind w:firstLineChars="0" w:firstLine="0"/>
              <w:rPr>
                <w:sz w:val="24"/>
                <w:lang w:bidi="ar"/>
              </w:rPr>
            </w:pPr>
            <w:r>
              <w:rPr>
                <w:sz w:val="24"/>
                <w:lang w:bidi="ar"/>
              </w:rPr>
              <w:t>对标准实施情况进行总结分析，不断对地方标准提出修正意见。</w:t>
            </w:r>
          </w:p>
        </w:tc>
      </w:tr>
      <w:tr w:rsidR="00445F8C" w14:paraId="2B5C4321"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1359194B" w14:textId="57A090FA" w:rsidR="00445F8C" w:rsidRDefault="00850867">
            <w:pPr>
              <w:ind w:firstLineChars="0" w:firstLine="0"/>
              <w:jc w:val="center"/>
              <w:rPr>
                <w:sz w:val="24"/>
              </w:rPr>
            </w:pPr>
            <w:r w:rsidRPr="00850867">
              <w:rPr>
                <w:sz w:val="24"/>
              </w:rPr>
              <w:t>陈阁香</w:t>
            </w:r>
          </w:p>
        </w:tc>
        <w:tc>
          <w:tcPr>
            <w:tcW w:w="824" w:type="pct"/>
            <w:tcBorders>
              <w:top w:val="single" w:sz="4" w:space="0" w:color="auto"/>
              <w:left w:val="single" w:sz="4" w:space="0" w:color="auto"/>
              <w:bottom w:val="single" w:sz="4" w:space="0" w:color="auto"/>
              <w:right w:val="single" w:sz="4" w:space="0" w:color="auto"/>
            </w:tcBorders>
            <w:vAlign w:val="center"/>
          </w:tcPr>
          <w:p w14:paraId="5C2C1E72" w14:textId="30FE97F7" w:rsidR="00445F8C" w:rsidRDefault="000D0B54">
            <w:pPr>
              <w:ind w:firstLineChars="0" w:firstLine="0"/>
              <w:jc w:val="center"/>
              <w:rPr>
                <w:sz w:val="24"/>
              </w:rPr>
            </w:pPr>
            <w:r>
              <w:rPr>
                <w:rFonts w:hint="eastAsia"/>
                <w:sz w:val="24"/>
              </w:rPr>
              <w:t>工程师</w:t>
            </w:r>
          </w:p>
        </w:tc>
        <w:tc>
          <w:tcPr>
            <w:tcW w:w="1273" w:type="pct"/>
            <w:tcBorders>
              <w:top w:val="single" w:sz="2" w:space="0" w:color="000000"/>
              <w:left w:val="single" w:sz="4" w:space="0" w:color="auto"/>
              <w:bottom w:val="single" w:sz="2" w:space="0" w:color="000000"/>
              <w:right w:val="single" w:sz="4" w:space="0" w:color="auto"/>
            </w:tcBorders>
            <w:vAlign w:val="center"/>
          </w:tcPr>
          <w:p w14:paraId="2398F134" w14:textId="0B7F7DC5" w:rsidR="00445F8C" w:rsidRDefault="00E6212C">
            <w:pPr>
              <w:ind w:firstLineChars="0" w:firstLine="0"/>
              <w:jc w:val="center"/>
              <w:rPr>
                <w:sz w:val="24"/>
              </w:rPr>
            </w:pPr>
            <w:r w:rsidRPr="00E6212C">
              <w:rPr>
                <w:sz w:val="24"/>
              </w:rPr>
              <w:t>生态环境部华南环境科学研究所</w:t>
            </w:r>
          </w:p>
        </w:tc>
        <w:tc>
          <w:tcPr>
            <w:tcW w:w="2247" w:type="pct"/>
            <w:tcBorders>
              <w:top w:val="single" w:sz="4" w:space="0" w:color="auto"/>
              <w:left w:val="single" w:sz="4" w:space="0" w:color="auto"/>
              <w:bottom w:val="single" w:sz="4" w:space="0" w:color="auto"/>
              <w:right w:val="single" w:sz="4" w:space="0" w:color="auto"/>
            </w:tcBorders>
            <w:vAlign w:val="center"/>
          </w:tcPr>
          <w:p w14:paraId="3D6A200C" w14:textId="77777777" w:rsidR="00445F8C" w:rsidRDefault="00084192">
            <w:pPr>
              <w:ind w:firstLineChars="0" w:firstLine="0"/>
              <w:rPr>
                <w:sz w:val="24"/>
                <w:lang w:bidi="ar"/>
              </w:rPr>
            </w:pPr>
            <w:r>
              <w:rPr>
                <w:sz w:val="24"/>
                <w:lang w:bidi="ar"/>
              </w:rPr>
              <w:t>对标准实施情况进行总结分析，不断对地方标准提出修正意见。</w:t>
            </w:r>
          </w:p>
        </w:tc>
      </w:tr>
      <w:tr w:rsidR="00445F8C" w14:paraId="569FAF34"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0D880981" w14:textId="45D70C87" w:rsidR="00445F8C" w:rsidRDefault="00850867">
            <w:pPr>
              <w:ind w:firstLineChars="0" w:firstLine="0"/>
              <w:jc w:val="center"/>
              <w:rPr>
                <w:sz w:val="24"/>
              </w:rPr>
            </w:pPr>
            <w:r w:rsidRPr="00850867">
              <w:rPr>
                <w:sz w:val="24"/>
              </w:rPr>
              <w:t>郭志航</w:t>
            </w:r>
          </w:p>
        </w:tc>
        <w:tc>
          <w:tcPr>
            <w:tcW w:w="824" w:type="pct"/>
            <w:tcBorders>
              <w:top w:val="single" w:sz="4" w:space="0" w:color="auto"/>
              <w:left w:val="single" w:sz="4" w:space="0" w:color="auto"/>
              <w:bottom w:val="single" w:sz="4" w:space="0" w:color="auto"/>
              <w:right w:val="single" w:sz="4" w:space="0" w:color="auto"/>
            </w:tcBorders>
            <w:vAlign w:val="center"/>
          </w:tcPr>
          <w:p w14:paraId="36E15C67" w14:textId="66759F61" w:rsidR="00445F8C" w:rsidRDefault="000D0B54">
            <w:pPr>
              <w:ind w:firstLineChars="0" w:firstLine="0"/>
              <w:jc w:val="center"/>
              <w:rPr>
                <w:sz w:val="24"/>
              </w:rPr>
            </w:pPr>
            <w:r>
              <w:rPr>
                <w:rFonts w:hint="eastAsia"/>
                <w:sz w:val="24"/>
              </w:rPr>
              <w:t>高级工程师</w:t>
            </w:r>
          </w:p>
        </w:tc>
        <w:tc>
          <w:tcPr>
            <w:tcW w:w="1273" w:type="pct"/>
            <w:tcBorders>
              <w:top w:val="single" w:sz="2" w:space="0" w:color="000000"/>
              <w:left w:val="single" w:sz="4" w:space="0" w:color="auto"/>
              <w:bottom w:val="single" w:sz="2" w:space="0" w:color="000000"/>
              <w:right w:val="single" w:sz="4" w:space="0" w:color="auto"/>
            </w:tcBorders>
            <w:vAlign w:val="center"/>
          </w:tcPr>
          <w:p w14:paraId="00F89985" w14:textId="77777777" w:rsidR="000D0B54" w:rsidRDefault="000D0B54">
            <w:pPr>
              <w:ind w:firstLineChars="0" w:firstLine="0"/>
              <w:jc w:val="center"/>
              <w:rPr>
                <w:sz w:val="24"/>
              </w:rPr>
            </w:pPr>
            <w:proofErr w:type="gramStart"/>
            <w:r w:rsidRPr="000D0B54">
              <w:rPr>
                <w:sz w:val="24"/>
              </w:rPr>
              <w:t>福建龙净环保</w:t>
            </w:r>
            <w:proofErr w:type="gramEnd"/>
            <w:r w:rsidRPr="000D0B54">
              <w:rPr>
                <w:sz w:val="24"/>
              </w:rPr>
              <w:t>股份</w:t>
            </w:r>
          </w:p>
          <w:p w14:paraId="7EA29A48" w14:textId="53BC7C47" w:rsidR="00445F8C" w:rsidRDefault="000D0B54">
            <w:pPr>
              <w:ind w:firstLineChars="0" w:firstLine="0"/>
              <w:jc w:val="center"/>
              <w:rPr>
                <w:sz w:val="24"/>
              </w:rPr>
            </w:pPr>
            <w:r w:rsidRPr="000D0B54">
              <w:rPr>
                <w:sz w:val="24"/>
              </w:rPr>
              <w:t>有限公司</w:t>
            </w:r>
          </w:p>
        </w:tc>
        <w:tc>
          <w:tcPr>
            <w:tcW w:w="2247" w:type="pct"/>
            <w:tcBorders>
              <w:top w:val="single" w:sz="4" w:space="0" w:color="auto"/>
              <w:left w:val="single" w:sz="4" w:space="0" w:color="auto"/>
              <w:bottom w:val="single" w:sz="4" w:space="0" w:color="auto"/>
              <w:right w:val="single" w:sz="4" w:space="0" w:color="auto"/>
            </w:tcBorders>
            <w:vAlign w:val="center"/>
          </w:tcPr>
          <w:p w14:paraId="3F05A535" w14:textId="77777777" w:rsidR="00445F8C" w:rsidRDefault="00084192">
            <w:pPr>
              <w:ind w:firstLineChars="0" w:firstLine="0"/>
              <w:rPr>
                <w:sz w:val="24"/>
                <w:lang w:bidi="ar"/>
              </w:rPr>
            </w:pPr>
            <w:r>
              <w:rPr>
                <w:sz w:val="24"/>
                <w:lang w:bidi="ar"/>
              </w:rPr>
              <w:t>对标准实施情况进行总结分析，不断对地方标准提出修正意见</w:t>
            </w:r>
            <w:r>
              <w:rPr>
                <w:rFonts w:hint="eastAsia"/>
                <w:sz w:val="24"/>
                <w:lang w:bidi="ar"/>
              </w:rPr>
              <w:t>。</w:t>
            </w:r>
          </w:p>
        </w:tc>
      </w:tr>
      <w:tr w:rsidR="00445F8C" w14:paraId="28F9C351"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47114CA2" w14:textId="14F5B7D8" w:rsidR="00445F8C" w:rsidRDefault="00850867">
            <w:pPr>
              <w:ind w:firstLineChars="0" w:firstLine="0"/>
              <w:jc w:val="center"/>
              <w:rPr>
                <w:sz w:val="24"/>
              </w:rPr>
            </w:pPr>
            <w:r w:rsidRPr="00850867">
              <w:rPr>
                <w:sz w:val="24"/>
              </w:rPr>
              <w:t>米金星</w:t>
            </w:r>
          </w:p>
        </w:tc>
        <w:tc>
          <w:tcPr>
            <w:tcW w:w="824" w:type="pct"/>
            <w:tcBorders>
              <w:top w:val="single" w:sz="4" w:space="0" w:color="auto"/>
              <w:left w:val="single" w:sz="4" w:space="0" w:color="auto"/>
              <w:bottom w:val="single" w:sz="4" w:space="0" w:color="auto"/>
              <w:right w:val="single" w:sz="4" w:space="0" w:color="auto"/>
            </w:tcBorders>
            <w:vAlign w:val="center"/>
          </w:tcPr>
          <w:p w14:paraId="7DB5CE85" w14:textId="3A9C7591" w:rsidR="00445F8C" w:rsidRDefault="00850867">
            <w:pPr>
              <w:ind w:firstLineChars="0" w:firstLine="0"/>
              <w:jc w:val="center"/>
              <w:rPr>
                <w:sz w:val="24"/>
              </w:rPr>
            </w:pPr>
            <w:r w:rsidRPr="00850867">
              <w:rPr>
                <w:sz w:val="24"/>
              </w:rPr>
              <w:t>博士后</w:t>
            </w:r>
          </w:p>
        </w:tc>
        <w:tc>
          <w:tcPr>
            <w:tcW w:w="1273" w:type="pct"/>
            <w:tcBorders>
              <w:top w:val="single" w:sz="2" w:space="0" w:color="000000"/>
              <w:left w:val="single" w:sz="4" w:space="0" w:color="auto"/>
              <w:bottom w:val="single" w:sz="2" w:space="0" w:color="000000"/>
              <w:right w:val="single" w:sz="4" w:space="0" w:color="auto"/>
            </w:tcBorders>
            <w:vAlign w:val="center"/>
          </w:tcPr>
          <w:p w14:paraId="42C0C531" w14:textId="6C35EC35" w:rsidR="00445F8C" w:rsidRDefault="00850867">
            <w:pPr>
              <w:ind w:firstLineChars="0" w:firstLine="0"/>
              <w:jc w:val="center"/>
              <w:rPr>
                <w:sz w:val="24"/>
              </w:rPr>
            </w:pPr>
            <w:r>
              <w:rPr>
                <w:rFonts w:hint="eastAsia"/>
                <w:sz w:val="24"/>
              </w:rPr>
              <w:t>清华大学</w:t>
            </w:r>
          </w:p>
        </w:tc>
        <w:tc>
          <w:tcPr>
            <w:tcW w:w="2247" w:type="pct"/>
            <w:tcBorders>
              <w:top w:val="single" w:sz="4" w:space="0" w:color="auto"/>
              <w:left w:val="single" w:sz="4" w:space="0" w:color="auto"/>
              <w:bottom w:val="single" w:sz="4" w:space="0" w:color="auto"/>
              <w:right w:val="single" w:sz="4" w:space="0" w:color="auto"/>
            </w:tcBorders>
            <w:vAlign w:val="center"/>
          </w:tcPr>
          <w:p w14:paraId="7859D2D2" w14:textId="42C2E7E4" w:rsidR="00445F8C" w:rsidRDefault="000D0B54">
            <w:pPr>
              <w:ind w:firstLineChars="0" w:firstLine="0"/>
              <w:rPr>
                <w:sz w:val="24"/>
                <w:lang w:bidi="ar"/>
              </w:rPr>
            </w:pPr>
            <w:r>
              <w:rPr>
                <w:sz w:val="24"/>
                <w:lang w:bidi="ar"/>
              </w:rPr>
              <w:t>对标准实施情况进行总结分析，不断对地方标准提出修正意见</w:t>
            </w:r>
            <w:r>
              <w:rPr>
                <w:rFonts w:hint="eastAsia"/>
                <w:sz w:val="24"/>
                <w:lang w:bidi="ar"/>
              </w:rPr>
              <w:t>。</w:t>
            </w:r>
          </w:p>
        </w:tc>
      </w:tr>
      <w:tr w:rsidR="008F44F1" w14:paraId="650ADC24" w14:textId="77777777">
        <w:trPr>
          <w:cantSplit/>
          <w:trHeight w:val="517"/>
        </w:trPr>
        <w:tc>
          <w:tcPr>
            <w:tcW w:w="656" w:type="pct"/>
            <w:tcBorders>
              <w:top w:val="single" w:sz="4" w:space="0" w:color="auto"/>
              <w:left w:val="single" w:sz="4" w:space="0" w:color="auto"/>
              <w:bottom w:val="single" w:sz="4" w:space="0" w:color="auto"/>
              <w:right w:val="single" w:sz="4" w:space="0" w:color="008000"/>
            </w:tcBorders>
            <w:vAlign w:val="center"/>
          </w:tcPr>
          <w:p w14:paraId="187056DE" w14:textId="74F7F19D" w:rsidR="008F44F1" w:rsidRPr="00850867" w:rsidRDefault="008F44F1">
            <w:pPr>
              <w:ind w:firstLineChars="0" w:firstLine="0"/>
              <w:jc w:val="center"/>
              <w:rPr>
                <w:sz w:val="24"/>
              </w:rPr>
            </w:pPr>
            <w:r>
              <w:rPr>
                <w:rFonts w:hint="eastAsia"/>
                <w:sz w:val="24"/>
              </w:rPr>
              <w:t>李松庚</w:t>
            </w:r>
          </w:p>
        </w:tc>
        <w:tc>
          <w:tcPr>
            <w:tcW w:w="824" w:type="pct"/>
            <w:tcBorders>
              <w:top w:val="single" w:sz="4" w:space="0" w:color="auto"/>
              <w:left w:val="single" w:sz="4" w:space="0" w:color="auto"/>
              <w:bottom w:val="single" w:sz="4" w:space="0" w:color="auto"/>
              <w:right w:val="single" w:sz="4" w:space="0" w:color="auto"/>
            </w:tcBorders>
            <w:vAlign w:val="center"/>
          </w:tcPr>
          <w:p w14:paraId="28C15466" w14:textId="0D683ACC" w:rsidR="008F44F1" w:rsidRPr="00850867" w:rsidRDefault="008F44F1">
            <w:pPr>
              <w:ind w:firstLineChars="0" w:firstLine="0"/>
              <w:jc w:val="center"/>
              <w:rPr>
                <w:sz w:val="24"/>
              </w:rPr>
            </w:pPr>
            <w:r w:rsidRPr="000D0B54">
              <w:rPr>
                <w:sz w:val="24"/>
              </w:rPr>
              <w:t>研究员</w:t>
            </w:r>
          </w:p>
        </w:tc>
        <w:tc>
          <w:tcPr>
            <w:tcW w:w="1273" w:type="pct"/>
            <w:tcBorders>
              <w:top w:val="single" w:sz="2" w:space="0" w:color="000000"/>
              <w:left w:val="single" w:sz="4" w:space="0" w:color="auto"/>
              <w:bottom w:val="single" w:sz="2" w:space="0" w:color="000000"/>
              <w:right w:val="single" w:sz="4" w:space="0" w:color="auto"/>
            </w:tcBorders>
            <w:vAlign w:val="center"/>
          </w:tcPr>
          <w:p w14:paraId="1BCF870D" w14:textId="131B574C" w:rsidR="008F44F1" w:rsidRDefault="008F44F1">
            <w:pPr>
              <w:ind w:firstLineChars="0" w:firstLine="0"/>
              <w:jc w:val="center"/>
              <w:rPr>
                <w:sz w:val="24"/>
              </w:rPr>
            </w:pPr>
            <w:r>
              <w:rPr>
                <w:rFonts w:hint="eastAsia"/>
                <w:sz w:val="24"/>
              </w:rPr>
              <w:t>中国科学院过程工程研究所</w:t>
            </w:r>
          </w:p>
        </w:tc>
        <w:tc>
          <w:tcPr>
            <w:tcW w:w="2247" w:type="pct"/>
            <w:tcBorders>
              <w:top w:val="single" w:sz="4" w:space="0" w:color="auto"/>
              <w:left w:val="single" w:sz="4" w:space="0" w:color="auto"/>
              <w:bottom w:val="single" w:sz="4" w:space="0" w:color="auto"/>
              <w:right w:val="single" w:sz="4" w:space="0" w:color="auto"/>
            </w:tcBorders>
            <w:vAlign w:val="center"/>
          </w:tcPr>
          <w:p w14:paraId="037CC7D5" w14:textId="7E50DB5C" w:rsidR="008F44F1" w:rsidRDefault="008F44F1">
            <w:pPr>
              <w:ind w:firstLineChars="0" w:firstLine="0"/>
              <w:rPr>
                <w:sz w:val="24"/>
                <w:lang w:bidi="ar"/>
              </w:rPr>
            </w:pPr>
            <w:r>
              <w:rPr>
                <w:sz w:val="24"/>
                <w:lang w:bidi="ar"/>
              </w:rPr>
              <w:t>对标准实施情况进行总结分析，不断对地方标准提出修正意见</w:t>
            </w:r>
            <w:r>
              <w:rPr>
                <w:rFonts w:hint="eastAsia"/>
                <w:sz w:val="24"/>
                <w:lang w:bidi="ar"/>
              </w:rPr>
              <w:t>。</w:t>
            </w:r>
          </w:p>
        </w:tc>
      </w:tr>
    </w:tbl>
    <w:p w14:paraId="04FFC5D8" w14:textId="77777777" w:rsidR="00445F8C" w:rsidRDefault="00084192">
      <w:pPr>
        <w:autoSpaceDE w:val="0"/>
        <w:autoSpaceDN w:val="0"/>
        <w:adjustRightInd w:val="0"/>
        <w:spacing w:beforeLines="50" w:before="156" w:afterLines="50" w:after="156" w:line="560" w:lineRule="exact"/>
        <w:ind w:firstLine="640"/>
        <w:jc w:val="left"/>
        <w:rPr>
          <w:rFonts w:eastAsia="黑体"/>
          <w:szCs w:val="32"/>
        </w:rPr>
      </w:pPr>
      <w:r>
        <w:rPr>
          <w:rFonts w:eastAsia="黑体"/>
          <w:szCs w:val="32"/>
        </w:rPr>
        <w:t>二、制定标准的必要性和意义</w:t>
      </w:r>
    </w:p>
    <w:p w14:paraId="6355A15F" w14:textId="77777777" w:rsidR="00445F8C" w:rsidRDefault="00084192">
      <w:pPr>
        <w:autoSpaceDE w:val="0"/>
        <w:autoSpaceDN w:val="0"/>
        <w:adjustRightInd w:val="0"/>
        <w:spacing w:line="560" w:lineRule="exact"/>
        <w:ind w:firstLine="643"/>
        <w:jc w:val="left"/>
        <w:rPr>
          <w:b/>
          <w:szCs w:val="28"/>
        </w:rPr>
      </w:pPr>
      <w:r>
        <w:rPr>
          <w:b/>
          <w:szCs w:val="28"/>
        </w:rPr>
        <w:t>1</w:t>
      </w:r>
      <w:r>
        <w:rPr>
          <w:b/>
          <w:szCs w:val="28"/>
        </w:rPr>
        <w:t>、编制背景</w:t>
      </w:r>
    </w:p>
    <w:p w14:paraId="671C924D" w14:textId="77777777" w:rsidR="00445F8C" w:rsidRDefault="00084192">
      <w:pPr>
        <w:autoSpaceDE w:val="0"/>
        <w:autoSpaceDN w:val="0"/>
        <w:adjustRightInd w:val="0"/>
        <w:spacing w:line="560" w:lineRule="exact"/>
        <w:ind w:firstLine="640"/>
        <w:rPr>
          <w:szCs w:val="28"/>
        </w:rPr>
      </w:pPr>
      <w:r>
        <w:rPr>
          <w:szCs w:val="28"/>
        </w:rPr>
        <w:t>生物质能是一种清洁可再生能源，几乎不含硫、含氮量低，所排放</w:t>
      </w:r>
      <w:r>
        <w:rPr>
          <w:szCs w:val="28"/>
        </w:rPr>
        <w:t>CO</w:t>
      </w:r>
      <w:r>
        <w:rPr>
          <w:szCs w:val="28"/>
          <w:vertAlign w:val="subscript"/>
        </w:rPr>
        <w:t>2</w:t>
      </w:r>
      <w:r>
        <w:rPr>
          <w:szCs w:val="28"/>
        </w:rPr>
        <w:t>属生物圈碳循环的闭合过程，因此具有</w:t>
      </w:r>
      <w:r>
        <w:rPr>
          <w:szCs w:val="28"/>
        </w:rPr>
        <w:t>CO</w:t>
      </w:r>
      <w:r>
        <w:rPr>
          <w:szCs w:val="28"/>
          <w:vertAlign w:val="subscript"/>
        </w:rPr>
        <w:t>2</w:t>
      </w:r>
      <w:r>
        <w:rPr>
          <w:szCs w:val="28"/>
        </w:rPr>
        <w:t>近零排放的优点。生物质能的最早利用可追溯至钻木取火，而在现代能源结构中，随着</w:t>
      </w:r>
      <w:r>
        <w:rPr>
          <w:szCs w:val="28"/>
        </w:rPr>
        <w:t>“</w:t>
      </w:r>
      <w:r>
        <w:rPr>
          <w:szCs w:val="28"/>
        </w:rPr>
        <w:t>双碳</w:t>
      </w:r>
      <w:r>
        <w:rPr>
          <w:szCs w:val="28"/>
        </w:rPr>
        <w:t>”</w:t>
      </w:r>
      <w:r>
        <w:rPr>
          <w:szCs w:val="28"/>
        </w:rPr>
        <w:t>战略目标的提出，生物质能作为重要的可再生能源，在供热、发电、工业窑炉替代燃料等领域得到广泛推广。</w:t>
      </w:r>
    </w:p>
    <w:p w14:paraId="4E25772D" w14:textId="77777777" w:rsidR="00445F8C" w:rsidRDefault="00084192">
      <w:pPr>
        <w:autoSpaceDE w:val="0"/>
        <w:autoSpaceDN w:val="0"/>
        <w:adjustRightInd w:val="0"/>
        <w:spacing w:line="560" w:lineRule="exact"/>
        <w:ind w:firstLine="640"/>
        <w:rPr>
          <w:szCs w:val="28"/>
        </w:rPr>
      </w:pPr>
      <w:r>
        <w:rPr>
          <w:szCs w:val="28"/>
        </w:rPr>
        <w:t>然而，当前生物质锅炉在燃料复杂性、燃烧稳定性以及污染物排放控制方面仍存在较大差异，行业缺乏统一、系统、可量化的清洁燃烧评价标准。一方面，不同地区使用的秸秆、林木废弃物、农业副产物等燃料组分差异显著，导致锅炉燃烧效率和污染排放水平波动较大；另一方面，现行国家与行业标准多聚焦于单项排放指标或设备性能，对燃料适配性、燃烧组织、效率与排放协同控制等缺少统一评价体系。</w:t>
      </w:r>
    </w:p>
    <w:p w14:paraId="0E59E612" w14:textId="4D9A7611" w:rsidR="00445F8C" w:rsidRDefault="00084192">
      <w:pPr>
        <w:autoSpaceDE w:val="0"/>
        <w:autoSpaceDN w:val="0"/>
        <w:adjustRightInd w:val="0"/>
        <w:spacing w:line="560" w:lineRule="exact"/>
        <w:ind w:firstLine="640"/>
        <w:rPr>
          <w:szCs w:val="28"/>
        </w:rPr>
      </w:pPr>
      <w:r>
        <w:rPr>
          <w:szCs w:val="28"/>
        </w:rPr>
        <w:t>近年来，国家陆续出台多项法律法规和政策文件，推动锅炉</w:t>
      </w:r>
      <w:r>
        <w:rPr>
          <w:szCs w:val="28"/>
        </w:rPr>
        <w:lastRenderedPageBreak/>
        <w:t>行业的节能减排与绿色发展，包括但不限于：《中华人民共和国大气污染防治法》《中华人民共和国节约能源法》、《锅炉大气污染物排放标准》（</w:t>
      </w:r>
      <w:r>
        <w:rPr>
          <w:szCs w:val="28"/>
        </w:rPr>
        <w:t>GB/T 13271-2014</w:t>
      </w:r>
      <w:r>
        <w:rPr>
          <w:szCs w:val="28"/>
        </w:rPr>
        <w:t>）、《</w:t>
      </w:r>
      <w:r>
        <w:rPr>
          <w:szCs w:val="28"/>
        </w:rPr>
        <w:t>“</w:t>
      </w:r>
      <w:r>
        <w:rPr>
          <w:szCs w:val="28"/>
        </w:rPr>
        <w:t>十四五</w:t>
      </w:r>
      <w:r>
        <w:rPr>
          <w:szCs w:val="28"/>
        </w:rPr>
        <w:t>”</w:t>
      </w:r>
      <w:r>
        <w:rPr>
          <w:szCs w:val="28"/>
        </w:rPr>
        <w:t>可再生能源发展规划》《</w:t>
      </w:r>
      <w:r>
        <w:rPr>
          <w:szCs w:val="28"/>
        </w:rPr>
        <w:t>“</w:t>
      </w:r>
      <w:r>
        <w:rPr>
          <w:szCs w:val="28"/>
        </w:rPr>
        <w:t>十四五</w:t>
      </w:r>
      <w:r>
        <w:rPr>
          <w:szCs w:val="28"/>
        </w:rPr>
        <w:t>”</w:t>
      </w:r>
      <w:r>
        <w:rPr>
          <w:szCs w:val="28"/>
        </w:rPr>
        <w:t>全国清洁生产推进方案》等。这些法规从污染物排放控制、能源利用效率提升以及可再生能源推广应用等方面，对生物质锅炉的设计、运行及排放管理提出了明确要求。</w:t>
      </w:r>
    </w:p>
    <w:p w14:paraId="29DC0985" w14:textId="77777777" w:rsidR="00445F8C" w:rsidRDefault="00084192">
      <w:pPr>
        <w:autoSpaceDE w:val="0"/>
        <w:autoSpaceDN w:val="0"/>
        <w:adjustRightInd w:val="0"/>
        <w:spacing w:line="560" w:lineRule="exact"/>
        <w:ind w:firstLine="640"/>
        <w:rPr>
          <w:szCs w:val="28"/>
        </w:rPr>
      </w:pPr>
      <w:r>
        <w:rPr>
          <w:szCs w:val="28"/>
        </w:rPr>
        <w:t>在上述法律法规和政策框架下，本标准延续了《生物质锅炉技术规范》（</w:t>
      </w:r>
      <w:r>
        <w:rPr>
          <w:szCs w:val="28"/>
        </w:rPr>
        <w:t>GB/T 44906-2024</w:t>
      </w:r>
      <w:r>
        <w:rPr>
          <w:szCs w:val="28"/>
        </w:rPr>
        <w:t>）、《生物质锅炉质量性能评价技术准则》（</w:t>
      </w:r>
      <w:r>
        <w:rPr>
          <w:szCs w:val="28"/>
        </w:rPr>
        <w:t>GB/T 44907-2024</w:t>
      </w:r>
      <w:r>
        <w:rPr>
          <w:szCs w:val="28"/>
        </w:rPr>
        <w:t>）所提倡的</w:t>
      </w:r>
      <w:r>
        <w:rPr>
          <w:szCs w:val="28"/>
        </w:rPr>
        <w:t>“</w:t>
      </w:r>
      <w:r>
        <w:rPr>
          <w:szCs w:val="28"/>
        </w:rPr>
        <w:t>生物质锅炉技术创新，提升生物质锅炉的安全、节能与环保运行水平</w:t>
      </w:r>
      <w:r>
        <w:rPr>
          <w:szCs w:val="28"/>
        </w:rPr>
        <w:t>”</w:t>
      </w:r>
      <w:r>
        <w:rPr>
          <w:szCs w:val="28"/>
        </w:rPr>
        <w:t>的基本理念，界定了生物质锅炉清洁燃烧评价指标体系及的术语和定义，规定了生物质锅炉清洁燃烧评价的指标体系、评价方法、数据采集等方面的要求，旨在符合法定排放标准和能效要求的基础上，构建更加系统、可量化、可推广的行业评价体系。</w:t>
      </w:r>
    </w:p>
    <w:p w14:paraId="79660A01" w14:textId="3B6B9EC8" w:rsidR="00445F8C" w:rsidRDefault="00084192">
      <w:pPr>
        <w:autoSpaceDE w:val="0"/>
        <w:autoSpaceDN w:val="0"/>
        <w:adjustRightInd w:val="0"/>
        <w:spacing w:line="560" w:lineRule="exact"/>
        <w:ind w:firstLine="643"/>
        <w:jc w:val="left"/>
        <w:rPr>
          <w:b/>
          <w:szCs w:val="28"/>
        </w:rPr>
      </w:pPr>
      <w:r>
        <w:rPr>
          <w:b/>
          <w:szCs w:val="28"/>
        </w:rPr>
        <w:t>2</w:t>
      </w:r>
      <w:r>
        <w:rPr>
          <w:b/>
          <w:szCs w:val="28"/>
        </w:rPr>
        <w:t>、行业在</w:t>
      </w:r>
      <w:r w:rsidR="00535D1E">
        <w:rPr>
          <w:rFonts w:hint="eastAsia"/>
          <w:b/>
          <w:szCs w:val="28"/>
        </w:rPr>
        <w:t>国内</w:t>
      </w:r>
      <w:r>
        <w:rPr>
          <w:b/>
          <w:szCs w:val="28"/>
        </w:rPr>
        <w:t>的发展情况</w:t>
      </w:r>
    </w:p>
    <w:p w14:paraId="5A9ACEA2" w14:textId="77777777" w:rsidR="00445F8C" w:rsidRDefault="00084192">
      <w:pPr>
        <w:autoSpaceDE w:val="0"/>
        <w:autoSpaceDN w:val="0"/>
        <w:adjustRightInd w:val="0"/>
        <w:spacing w:line="560" w:lineRule="exact"/>
        <w:ind w:firstLine="640"/>
        <w:rPr>
          <w:szCs w:val="28"/>
        </w:rPr>
      </w:pPr>
      <w:r>
        <w:rPr>
          <w:szCs w:val="28"/>
        </w:rPr>
        <w:t>在全球能源结构转型和</w:t>
      </w:r>
      <w:r>
        <w:rPr>
          <w:szCs w:val="28"/>
        </w:rPr>
        <w:t>“</w:t>
      </w:r>
      <w:r>
        <w:rPr>
          <w:szCs w:val="28"/>
        </w:rPr>
        <w:t>双碳</w:t>
      </w:r>
      <w:r>
        <w:rPr>
          <w:szCs w:val="28"/>
        </w:rPr>
        <w:t>”</w:t>
      </w:r>
      <w:r>
        <w:rPr>
          <w:szCs w:val="28"/>
        </w:rPr>
        <w:t>目标背景下，生物质能源作为重要的可再生能源形式，在我国能源体系中的地位不断提升。生物质锅炉作为生物质能源在工业和供热领域实现规模化利用的核心装备，其清洁燃烧水平直接关系到生物质能源</w:t>
      </w:r>
      <w:r>
        <w:rPr>
          <w:szCs w:val="28"/>
        </w:rPr>
        <w:t>“</w:t>
      </w:r>
      <w:r>
        <w:rPr>
          <w:szCs w:val="28"/>
        </w:rPr>
        <w:t>减污降碳协同</w:t>
      </w:r>
      <w:r>
        <w:rPr>
          <w:szCs w:val="28"/>
        </w:rPr>
        <w:t>”</w:t>
      </w:r>
      <w:r>
        <w:rPr>
          <w:szCs w:val="28"/>
        </w:rPr>
        <w:t>效益的实现。</w:t>
      </w:r>
    </w:p>
    <w:p w14:paraId="7FF609DE" w14:textId="2CC8CDE0" w:rsidR="00445F8C" w:rsidRDefault="00084192">
      <w:pPr>
        <w:autoSpaceDE w:val="0"/>
        <w:autoSpaceDN w:val="0"/>
        <w:adjustRightInd w:val="0"/>
        <w:spacing w:line="560" w:lineRule="exact"/>
        <w:ind w:firstLine="640"/>
        <w:jc w:val="left"/>
        <w:rPr>
          <w:szCs w:val="28"/>
        </w:rPr>
      </w:pPr>
      <w:r>
        <w:rPr>
          <w:szCs w:val="28"/>
        </w:rPr>
        <w:t>国家层面围绕能源结构转型、大气污染防治和绿色制造等战略，持续推进锅炉行业的规范化管理与技术标准体系建设。《锅炉绿色低碳高质量发展行动方案》提出完善锅炉节能、燃烧控制与排放标准体系，明确制定生物质锅炉关键技术标准和排放控制</w:t>
      </w:r>
      <w:r>
        <w:rPr>
          <w:szCs w:val="28"/>
        </w:rPr>
        <w:lastRenderedPageBreak/>
        <w:t>要求，为行业规范和清洁运行奠定基础。国家标准《生物质锅炉技术规范》（</w:t>
      </w:r>
      <w:r>
        <w:rPr>
          <w:szCs w:val="28"/>
        </w:rPr>
        <w:t>GB/T 44906-2024</w:t>
      </w:r>
      <w:r>
        <w:rPr>
          <w:szCs w:val="28"/>
        </w:rPr>
        <w:t>）从术语定义、工艺参数、设计与性能要求等方面规范生物质锅炉技术，为燃烧过程性能评价指标的建立提供了技术依据。此外，《</w:t>
      </w:r>
      <w:r w:rsidR="00535D1E" w:rsidRPr="00535D1E">
        <w:rPr>
          <w:szCs w:val="28"/>
        </w:rPr>
        <w:t>锅炉大气污染物排放标准</w:t>
      </w:r>
      <w:r>
        <w:rPr>
          <w:szCs w:val="28"/>
        </w:rPr>
        <w:t>》（</w:t>
      </w:r>
      <w:r w:rsidR="00535D1E">
        <w:rPr>
          <w:rFonts w:hint="eastAsia"/>
          <w:szCs w:val="28"/>
        </w:rPr>
        <w:t>GB 13271-2014</w:t>
      </w:r>
      <w:r>
        <w:rPr>
          <w:szCs w:val="28"/>
        </w:rPr>
        <w:t>）</w:t>
      </w:r>
      <w:r w:rsidR="00535D1E">
        <w:rPr>
          <w:rFonts w:hint="eastAsia"/>
          <w:szCs w:val="28"/>
        </w:rPr>
        <w:t>、</w:t>
      </w:r>
      <w:r>
        <w:rPr>
          <w:szCs w:val="28"/>
        </w:rPr>
        <w:t>《</w:t>
      </w:r>
      <w:r w:rsidR="00535D1E" w:rsidRPr="00535D1E">
        <w:rPr>
          <w:szCs w:val="28"/>
        </w:rPr>
        <w:t>火电厂大气污染物排放标准</w:t>
      </w:r>
      <w:r>
        <w:rPr>
          <w:szCs w:val="28"/>
        </w:rPr>
        <w:t>》（</w:t>
      </w:r>
      <w:r w:rsidR="00535D1E">
        <w:rPr>
          <w:rFonts w:hint="eastAsia"/>
          <w:szCs w:val="28"/>
        </w:rPr>
        <w:t>GB 13223-2011</w:t>
      </w:r>
      <w:r>
        <w:rPr>
          <w:szCs w:val="28"/>
        </w:rPr>
        <w:t>）以及地方性</w:t>
      </w:r>
      <w:r w:rsidR="00535D1E">
        <w:rPr>
          <w:rFonts w:hint="eastAsia"/>
          <w:szCs w:val="28"/>
        </w:rPr>
        <w:t>生物质</w:t>
      </w:r>
      <w:r>
        <w:rPr>
          <w:szCs w:val="28"/>
        </w:rPr>
        <w:t>锅炉</w:t>
      </w:r>
      <w:r w:rsidR="00535D1E">
        <w:rPr>
          <w:rFonts w:hint="eastAsia"/>
          <w:szCs w:val="28"/>
        </w:rPr>
        <w:t>大气污染物</w:t>
      </w:r>
      <w:r>
        <w:rPr>
          <w:szCs w:val="28"/>
        </w:rPr>
        <w:t>排放标准（如吉林省</w:t>
      </w:r>
      <w:r w:rsidR="000E6DB7">
        <w:rPr>
          <w:rFonts w:hint="eastAsia"/>
          <w:szCs w:val="28"/>
        </w:rPr>
        <w:t>和</w:t>
      </w:r>
      <w:r w:rsidR="00535D1E">
        <w:rPr>
          <w:rFonts w:hint="eastAsia"/>
          <w:szCs w:val="28"/>
        </w:rPr>
        <w:t>湖北省</w:t>
      </w:r>
      <w:r>
        <w:rPr>
          <w:szCs w:val="28"/>
        </w:rPr>
        <w:t>）</w:t>
      </w:r>
      <w:r w:rsidRPr="00535D1E">
        <w:rPr>
          <w:szCs w:val="28"/>
        </w:rPr>
        <w:t>共同构成了对锅炉污染物控制的制度框架</w:t>
      </w:r>
      <w:r>
        <w:rPr>
          <w:szCs w:val="28"/>
        </w:rPr>
        <w:t>，这些规范在污染物排放控制等维度上与清洁燃烧评价指标体系的设计直接相关。生态环境部在排污许可制度等监管制度下对锅炉运行全过程监督管理，为锅炉清洁燃烧绩效的监测、评价与监管提供了政策和制度支持。</w:t>
      </w:r>
    </w:p>
    <w:p w14:paraId="200ECAD7" w14:textId="78431F78" w:rsidR="00BC3D38" w:rsidRDefault="00CF77C3" w:rsidP="00BC3D38">
      <w:pPr>
        <w:autoSpaceDE w:val="0"/>
        <w:autoSpaceDN w:val="0"/>
        <w:adjustRightInd w:val="0"/>
        <w:spacing w:line="560" w:lineRule="exact"/>
        <w:ind w:firstLine="640"/>
        <w:rPr>
          <w:szCs w:val="28"/>
        </w:rPr>
      </w:pPr>
      <w:r w:rsidRPr="00CF77C3">
        <w:rPr>
          <w:szCs w:val="28"/>
        </w:rPr>
        <w:t>从行业应用结构看，我国生物质锅炉呈现出覆盖行业范围广、企业数量多、单体规模偏小、区域分布相对分散的典型特征。根据</w:t>
      </w:r>
      <w:r w:rsidRPr="00CF77C3">
        <w:rPr>
          <w:szCs w:val="28"/>
        </w:rPr>
        <w:t>2024</w:t>
      </w:r>
      <w:r w:rsidRPr="00CF77C3">
        <w:rPr>
          <w:szCs w:val="28"/>
        </w:rPr>
        <w:t>年全国排污许可证基本信息统计数据，全国生物质锅炉数量超过</w:t>
      </w:r>
      <w:r w:rsidRPr="00CF77C3">
        <w:rPr>
          <w:szCs w:val="28"/>
        </w:rPr>
        <w:t>1.9</w:t>
      </w:r>
      <w:r w:rsidRPr="00CF77C3">
        <w:rPr>
          <w:szCs w:val="28"/>
        </w:rPr>
        <w:t>万台，额定出力合计超过</w:t>
      </w:r>
      <w:r w:rsidRPr="00CF77C3">
        <w:rPr>
          <w:szCs w:val="28"/>
        </w:rPr>
        <w:t>11.4</w:t>
      </w:r>
      <w:r w:rsidRPr="00CF77C3">
        <w:rPr>
          <w:szCs w:val="28"/>
        </w:rPr>
        <w:t>万蒸吨</w:t>
      </w:r>
      <w:r w:rsidRPr="00CF77C3">
        <w:rPr>
          <w:szCs w:val="28"/>
        </w:rPr>
        <w:t>/</w:t>
      </w:r>
      <w:r w:rsidRPr="00CF77C3">
        <w:rPr>
          <w:szCs w:val="28"/>
        </w:rPr>
        <w:t>小时。</w:t>
      </w:r>
      <w:r w:rsidR="00BC3D38">
        <w:rPr>
          <w:szCs w:val="28"/>
        </w:rPr>
        <w:t>主要分布在</w:t>
      </w:r>
      <w:r w:rsidR="00BC3D38">
        <w:rPr>
          <w:rFonts w:hint="eastAsia"/>
          <w:szCs w:val="28"/>
        </w:rPr>
        <w:t>板材</w:t>
      </w:r>
      <w:r w:rsidR="00BC3D38">
        <w:rPr>
          <w:szCs w:val="28"/>
        </w:rPr>
        <w:t>制造、食品及饲料加工、热力供应、牲畜屠宰、酒制造、纸加工、米面加工、制糖业和淀粉加工等轻型工业</w:t>
      </w:r>
      <w:r w:rsidR="00BC3D38">
        <w:rPr>
          <w:rFonts w:hint="eastAsia"/>
          <w:szCs w:val="28"/>
        </w:rPr>
        <w:t>领域</w:t>
      </w:r>
      <w:r w:rsidR="00BC3D38">
        <w:rPr>
          <w:szCs w:val="28"/>
        </w:rPr>
        <w:t>（见图</w:t>
      </w:r>
      <w:r w:rsidR="00BC3D38">
        <w:rPr>
          <w:rFonts w:hint="eastAsia"/>
          <w:szCs w:val="28"/>
        </w:rPr>
        <w:t>1</w:t>
      </w:r>
      <w:r w:rsidR="00BC3D38">
        <w:rPr>
          <w:szCs w:val="28"/>
        </w:rPr>
        <w:t>）。其中，排名前</w:t>
      </w:r>
      <w:r w:rsidR="00BC3D38">
        <w:rPr>
          <w:szCs w:val="28"/>
        </w:rPr>
        <w:t>20</w:t>
      </w:r>
      <w:r w:rsidR="00BC3D38">
        <w:rPr>
          <w:szCs w:val="28"/>
        </w:rPr>
        <w:t>位行业覆盖企业数量约</w:t>
      </w:r>
      <w:r w:rsidR="00BC3D38">
        <w:rPr>
          <w:szCs w:val="28"/>
        </w:rPr>
        <w:t>1.26</w:t>
      </w:r>
      <w:r w:rsidR="00BC3D38">
        <w:rPr>
          <w:szCs w:val="28"/>
        </w:rPr>
        <w:t>万家，额定出力合计</w:t>
      </w:r>
      <w:r w:rsidR="00BC3D38">
        <w:rPr>
          <w:szCs w:val="28"/>
        </w:rPr>
        <w:t>8.1</w:t>
      </w:r>
      <w:r w:rsidR="00BC3D38">
        <w:rPr>
          <w:szCs w:val="28"/>
        </w:rPr>
        <w:t>万蒸吨</w:t>
      </w:r>
      <w:r w:rsidR="00BC3D38">
        <w:rPr>
          <w:szCs w:val="28"/>
        </w:rPr>
        <w:t>/</w:t>
      </w:r>
      <w:r w:rsidR="00BC3D38">
        <w:rPr>
          <w:szCs w:val="28"/>
        </w:rPr>
        <w:t>小时，占全国总量的</w:t>
      </w:r>
      <w:r w:rsidR="00BC3D38">
        <w:rPr>
          <w:szCs w:val="28"/>
        </w:rPr>
        <w:t>71.05</w:t>
      </w:r>
      <w:r w:rsidR="00BC3D38">
        <w:rPr>
          <w:szCs w:val="28"/>
        </w:rPr>
        <w:t>％。</w:t>
      </w:r>
    </w:p>
    <w:p w14:paraId="72886FD2" w14:textId="77777777" w:rsidR="00BC3D38" w:rsidRDefault="00BC3D38" w:rsidP="00BC3D38">
      <w:pPr>
        <w:ind w:firstLineChars="0" w:firstLine="0"/>
        <w:jc w:val="center"/>
        <w:rPr>
          <w:szCs w:val="28"/>
        </w:rPr>
      </w:pPr>
      <w:r>
        <w:rPr>
          <w:noProof/>
        </w:rPr>
        <w:lastRenderedPageBreak/>
        <w:drawing>
          <wp:inline distT="0" distB="0" distL="114300" distR="114300" wp14:anchorId="6080341E" wp14:editId="730D050B">
            <wp:extent cx="2280169" cy="2071935"/>
            <wp:effectExtent l="0" t="0" r="6350" b="5080"/>
            <wp:docPr id="3887823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90922" name="图片 8"/>
                    <pic:cNvPicPr>
                      <a:picLocks noChangeAspect="1"/>
                    </pic:cNvPicPr>
                  </pic:nvPicPr>
                  <pic:blipFill>
                    <a:blip r:embed="rId8"/>
                    <a:srcRect l="7209" t="2462" r="12863" b="2493"/>
                    <a:stretch>
                      <a:fillRect/>
                    </a:stretch>
                  </pic:blipFill>
                  <pic:spPr>
                    <a:xfrm>
                      <a:off x="0" y="0"/>
                      <a:ext cx="2308476" cy="2097657"/>
                    </a:xfrm>
                    <a:prstGeom prst="rect">
                      <a:avLst/>
                    </a:prstGeom>
                    <a:noFill/>
                    <a:ln>
                      <a:noFill/>
                    </a:ln>
                  </pic:spPr>
                </pic:pic>
              </a:graphicData>
            </a:graphic>
          </wp:inline>
        </w:drawing>
      </w:r>
    </w:p>
    <w:p w14:paraId="7736C3B2" w14:textId="77777777" w:rsidR="00BC3D38" w:rsidRDefault="00BC3D38" w:rsidP="00BC3D38">
      <w:pPr>
        <w:autoSpaceDE w:val="0"/>
        <w:autoSpaceDN w:val="0"/>
        <w:adjustRightInd w:val="0"/>
        <w:spacing w:line="560" w:lineRule="exact"/>
        <w:ind w:firstLineChars="0" w:firstLine="0"/>
        <w:jc w:val="center"/>
        <w:rPr>
          <w:szCs w:val="28"/>
        </w:rPr>
      </w:pPr>
      <w:r>
        <w:rPr>
          <w:szCs w:val="28"/>
        </w:rPr>
        <w:t>图</w:t>
      </w:r>
      <w:r>
        <w:rPr>
          <w:rFonts w:hint="eastAsia"/>
          <w:szCs w:val="28"/>
        </w:rPr>
        <w:t>1</w:t>
      </w:r>
      <w:r>
        <w:rPr>
          <w:szCs w:val="28"/>
        </w:rPr>
        <w:t xml:space="preserve"> 2024</w:t>
      </w:r>
      <w:r>
        <w:rPr>
          <w:szCs w:val="28"/>
        </w:rPr>
        <w:t>年全国生物质锅炉使用行业数量分布</w:t>
      </w:r>
    </w:p>
    <w:p w14:paraId="591BC7B1" w14:textId="19A03FEF" w:rsidR="00CF77C3" w:rsidRDefault="00CF77C3">
      <w:pPr>
        <w:autoSpaceDE w:val="0"/>
        <w:autoSpaceDN w:val="0"/>
        <w:adjustRightInd w:val="0"/>
        <w:spacing w:line="560" w:lineRule="exact"/>
        <w:ind w:firstLine="640"/>
        <w:rPr>
          <w:szCs w:val="28"/>
        </w:rPr>
      </w:pPr>
      <w:r w:rsidRPr="00CF77C3">
        <w:rPr>
          <w:szCs w:val="28"/>
        </w:rPr>
        <w:t>空间分布上，我国生物质锅炉主要集中于广西、广东、江苏以及东北地区（黑龙江、吉林和辽宁）、云南、湖南和江西等省份（见图</w:t>
      </w:r>
      <w:r w:rsidR="00BC3D38">
        <w:rPr>
          <w:rFonts w:hint="eastAsia"/>
          <w:szCs w:val="28"/>
        </w:rPr>
        <w:t>2</w:t>
      </w:r>
      <w:r w:rsidRPr="00CF77C3">
        <w:rPr>
          <w:szCs w:val="28"/>
        </w:rPr>
        <w:t>）。其中，广西、广东和云南等南方省份森林植被覆盖率较高、生物质资源禀赋较为丰富，同时气候条件适宜农作物多年生长，农业剩余物产量较大；此外，广西作为我国重要的甘蔗制糖基地，制糖过程中产生的</w:t>
      </w:r>
      <w:proofErr w:type="gramStart"/>
      <w:r w:rsidRPr="00CF77C3">
        <w:rPr>
          <w:szCs w:val="28"/>
        </w:rPr>
        <w:t>蔗髓等</w:t>
      </w:r>
      <w:proofErr w:type="gramEnd"/>
      <w:r w:rsidRPr="00CF77C3">
        <w:rPr>
          <w:szCs w:val="28"/>
        </w:rPr>
        <w:t>副产物为生物质锅炉提供了稳定的燃料来源。</w:t>
      </w:r>
    </w:p>
    <w:p w14:paraId="5C1D7C40" w14:textId="56077A3E" w:rsidR="00BC3D38" w:rsidRDefault="00BC3D38">
      <w:pPr>
        <w:autoSpaceDE w:val="0"/>
        <w:autoSpaceDN w:val="0"/>
        <w:adjustRightInd w:val="0"/>
        <w:spacing w:line="560" w:lineRule="exact"/>
        <w:ind w:firstLine="640"/>
        <w:rPr>
          <w:szCs w:val="28"/>
        </w:rPr>
      </w:pPr>
      <w:r w:rsidRPr="00BC3D38">
        <w:rPr>
          <w:szCs w:val="28"/>
        </w:rPr>
        <w:t>东北地区是我国重要的商品粮生产基地，耕地面积广阔，玉米、水稻和大豆等粮食作物产量高，由此产生的农作物秸秆资源规模庞大；同时，东北地区林业资源丰富，林木采伐及加工过程中产生的枝条、树皮和加工剩余物等，为生物质锅炉提供了充足而稳定的燃料来源。相比之下，江苏省除具备一定规模的农作物秸秆资源外，还受产业结构中用</w:t>
      </w:r>
      <w:proofErr w:type="gramStart"/>
      <w:r w:rsidRPr="00BC3D38">
        <w:rPr>
          <w:szCs w:val="28"/>
        </w:rPr>
        <w:t>能需求</w:t>
      </w:r>
      <w:proofErr w:type="gramEnd"/>
      <w:r w:rsidRPr="00BC3D38">
        <w:rPr>
          <w:szCs w:val="28"/>
        </w:rPr>
        <w:t>较高、集中供热和工业用</w:t>
      </w:r>
      <w:proofErr w:type="gramStart"/>
      <w:r w:rsidRPr="00BC3D38">
        <w:rPr>
          <w:szCs w:val="28"/>
        </w:rPr>
        <w:t>热规模</w:t>
      </w:r>
      <w:proofErr w:type="gramEnd"/>
      <w:r w:rsidRPr="00BC3D38">
        <w:rPr>
          <w:szCs w:val="28"/>
        </w:rPr>
        <w:t>较大，以及地方环保政策支持力度较强等因素影响，生物质锅炉应用规模亦较为突出。</w:t>
      </w:r>
    </w:p>
    <w:p w14:paraId="08504631" w14:textId="5FD83AC1" w:rsidR="00CF77C3" w:rsidRDefault="00BC3D38" w:rsidP="00CF77C3">
      <w:pPr>
        <w:spacing w:line="360" w:lineRule="auto"/>
        <w:ind w:firstLineChars="0" w:firstLine="0"/>
        <w:jc w:val="center"/>
        <w:rPr>
          <w:rFonts w:eastAsia="宋体"/>
        </w:rPr>
      </w:pPr>
      <w:r>
        <w:rPr>
          <w:noProof/>
        </w:rPr>
        <w:lastRenderedPageBreak/>
        <w:drawing>
          <wp:inline distT="0" distB="0" distL="0" distR="0" wp14:anchorId="239F37C8" wp14:editId="72F159DD">
            <wp:extent cx="3044142" cy="2935046"/>
            <wp:effectExtent l="0" t="0" r="4445" b="0"/>
            <wp:docPr id="149858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547" name=""/>
                    <pic:cNvPicPr/>
                  </pic:nvPicPr>
                  <pic:blipFill>
                    <a:blip r:embed="rId9"/>
                    <a:stretch>
                      <a:fillRect/>
                    </a:stretch>
                  </pic:blipFill>
                  <pic:spPr>
                    <a:xfrm>
                      <a:off x="0" y="0"/>
                      <a:ext cx="3050302" cy="2940985"/>
                    </a:xfrm>
                    <a:prstGeom prst="rect">
                      <a:avLst/>
                    </a:prstGeom>
                  </pic:spPr>
                </pic:pic>
              </a:graphicData>
            </a:graphic>
          </wp:inline>
        </w:drawing>
      </w:r>
    </w:p>
    <w:p w14:paraId="4E8F88FF" w14:textId="7692CF03" w:rsidR="00BC3D38" w:rsidRDefault="00CF77C3" w:rsidP="00BC3D38">
      <w:pPr>
        <w:spacing w:line="560" w:lineRule="exact"/>
        <w:ind w:firstLineChars="0" w:firstLine="0"/>
        <w:jc w:val="center"/>
      </w:pPr>
      <w:r w:rsidRPr="00CF77C3">
        <w:t>图</w:t>
      </w:r>
      <w:r w:rsidR="00BC3D38">
        <w:rPr>
          <w:rFonts w:hint="eastAsia"/>
        </w:rPr>
        <w:t>2</w:t>
      </w:r>
      <w:r w:rsidRPr="00CF77C3">
        <w:t xml:space="preserve"> </w:t>
      </w:r>
      <w:r w:rsidRPr="00CF77C3">
        <w:t>我国生物质锅炉的空间分布</w:t>
      </w:r>
      <w:r w:rsidR="00BC3D38">
        <w:rPr>
          <w:rFonts w:hint="eastAsia"/>
        </w:rPr>
        <w:t>（按数量）</w:t>
      </w:r>
    </w:p>
    <w:p w14:paraId="5874CC13" w14:textId="2757A1DE" w:rsidR="00BC3D38" w:rsidRPr="00BC3D38" w:rsidRDefault="00BC3D38" w:rsidP="00BC3D38">
      <w:pPr>
        <w:autoSpaceDE w:val="0"/>
        <w:autoSpaceDN w:val="0"/>
        <w:adjustRightInd w:val="0"/>
        <w:spacing w:line="560" w:lineRule="exact"/>
        <w:ind w:firstLine="640"/>
      </w:pPr>
      <w:r>
        <w:t>由生物质锅炉额定出力的空间分布特征（见图</w:t>
      </w:r>
      <w:r>
        <w:rPr>
          <w:rFonts w:hint="eastAsia"/>
        </w:rPr>
        <w:t>3</w:t>
      </w:r>
      <w:r>
        <w:t>）可见，各地区锅炉额定出力与锅炉数量的空间分布总体上保持一致。额定出力位居前列的省份主要包括广西、广东、山东、江苏、黑龙江和吉林。其中，广西不仅生物质锅炉数量最多，而且单台锅炉平均额定出力水平较高，使其生物质锅炉总额定出力位居全国首位。相比之下，山东与江苏在生物质锅炉数量方面存在较大差异：山东锅炉数量相对较少，但单台锅炉额定出力偏高；江苏则以中小型生物质锅炉为主，锅炉数量较多。上述差异使得两省在生物质锅炉总额定出力规模上处于相近水平。</w:t>
      </w:r>
    </w:p>
    <w:p w14:paraId="398A128E" w14:textId="4EEE1D2D" w:rsidR="00BC3D38" w:rsidRDefault="00BC3D38" w:rsidP="00BC3D38">
      <w:pPr>
        <w:spacing w:line="360" w:lineRule="auto"/>
        <w:ind w:firstLineChars="0" w:firstLine="0"/>
        <w:jc w:val="center"/>
        <w:rPr>
          <w:rFonts w:eastAsia="宋体"/>
        </w:rPr>
      </w:pPr>
      <w:r>
        <w:rPr>
          <w:noProof/>
        </w:rPr>
        <w:lastRenderedPageBreak/>
        <w:drawing>
          <wp:inline distT="0" distB="0" distL="0" distR="0" wp14:anchorId="1D21EA27" wp14:editId="1322A0CB">
            <wp:extent cx="2853160" cy="2731378"/>
            <wp:effectExtent l="0" t="0" r="4445" b="0"/>
            <wp:docPr id="1567442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42614" name=""/>
                    <pic:cNvPicPr/>
                  </pic:nvPicPr>
                  <pic:blipFill>
                    <a:blip r:embed="rId10"/>
                    <a:stretch>
                      <a:fillRect/>
                    </a:stretch>
                  </pic:blipFill>
                  <pic:spPr>
                    <a:xfrm>
                      <a:off x="0" y="0"/>
                      <a:ext cx="2859038" cy="2737006"/>
                    </a:xfrm>
                    <a:prstGeom prst="rect">
                      <a:avLst/>
                    </a:prstGeom>
                  </pic:spPr>
                </pic:pic>
              </a:graphicData>
            </a:graphic>
          </wp:inline>
        </w:drawing>
      </w:r>
    </w:p>
    <w:p w14:paraId="2E8CCF02" w14:textId="380CEEBF" w:rsidR="00445F8C" w:rsidRPr="00BC3D38" w:rsidRDefault="00BC3D38" w:rsidP="00BC3D38">
      <w:pPr>
        <w:spacing w:line="560" w:lineRule="exact"/>
        <w:ind w:firstLineChars="0" w:firstLine="0"/>
        <w:jc w:val="center"/>
      </w:pPr>
      <w:r w:rsidRPr="00CF77C3">
        <w:t>图</w:t>
      </w:r>
      <w:r>
        <w:rPr>
          <w:rFonts w:hint="eastAsia"/>
        </w:rPr>
        <w:t>3</w:t>
      </w:r>
      <w:r w:rsidRPr="00CF77C3">
        <w:t xml:space="preserve"> </w:t>
      </w:r>
      <w:r w:rsidRPr="00CF77C3">
        <w:t>我国生物质锅炉的空间分布</w:t>
      </w:r>
      <w:r>
        <w:rPr>
          <w:rFonts w:hint="eastAsia"/>
        </w:rPr>
        <w:t>（按额定出力）</w:t>
      </w:r>
    </w:p>
    <w:p w14:paraId="0CD715B4" w14:textId="3D83FD93" w:rsidR="00365248" w:rsidRDefault="00365248" w:rsidP="00365248">
      <w:pPr>
        <w:autoSpaceDE w:val="0"/>
        <w:autoSpaceDN w:val="0"/>
        <w:adjustRightInd w:val="0"/>
        <w:spacing w:line="560" w:lineRule="exact"/>
        <w:ind w:firstLine="640"/>
        <w:rPr>
          <w:szCs w:val="28"/>
        </w:rPr>
      </w:pPr>
      <w:r w:rsidRPr="00365248">
        <w:rPr>
          <w:szCs w:val="28"/>
        </w:rPr>
        <w:t>在上述全国应用格局下，广西壮族自治区在生物质锅炉数量规模、行业覆盖和区域集聚程度等方面具有较强代表性。广西壮族自治区</w:t>
      </w:r>
      <w:r w:rsidRPr="004A3EA2">
        <w:rPr>
          <w:szCs w:val="28"/>
        </w:rPr>
        <w:t>生物质锅炉数量</w:t>
      </w:r>
      <w:r>
        <w:rPr>
          <w:rFonts w:hint="eastAsia"/>
          <w:szCs w:val="28"/>
        </w:rPr>
        <w:t>达</w:t>
      </w:r>
      <w:r w:rsidRPr="004A3EA2">
        <w:rPr>
          <w:szCs w:val="28"/>
        </w:rPr>
        <w:t>2359</w:t>
      </w:r>
      <w:r w:rsidRPr="004A3EA2">
        <w:rPr>
          <w:szCs w:val="28"/>
        </w:rPr>
        <w:t>台，全国占比为</w:t>
      </w:r>
      <w:r w:rsidRPr="004A3EA2">
        <w:rPr>
          <w:szCs w:val="28"/>
        </w:rPr>
        <w:t>12.30%</w:t>
      </w:r>
      <w:r w:rsidRPr="004A3EA2">
        <w:rPr>
          <w:szCs w:val="28"/>
        </w:rPr>
        <w:t>，生物质额定出力为</w:t>
      </w:r>
      <w:r w:rsidRPr="004A3EA2">
        <w:rPr>
          <w:szCs w:val="28"/>
        </w:rPr>
        <w:t>20397</w:t>
      </w:r>
      <w:r w:rsidRPr="004A3EA2">
        <w:rPr>
          <w:szCs w:val="28"/>
        </w:rPr>
        <w:t>蒸吨</w:t>
      </w:r>
      <w:r w:rsidRPr="004A3EA2">
        <w:rPr>
          <w:szCs w:val="28"/>
        </w:rPr>
        <w:t>/</w:t>
      </w:r>
      <w:r w:rsidRPr="004A3EA2">
        <w:rPr>
          <w:szCs w:val="28"/>
        </w:rPr>
        <w:t>小时，占全国</w:t>
      </w:r>
      <w:r w:rsidRPr="004A3EA2">
        <w:rPr>
          <w:szCs w:val="28"/>
        </w:rPr>
        <w:t>12.11%</w:t>
      </w:r>
      <w:r w:rsidRPr="004A3EA2">
        <w:rPr>
          <w:szCs w:val="28"/>
        </w:rPr>
        <w:t>。在全国</w:t>
      </w:r>
      <w:r w:rsidRPr="004A3EA2">
        <w:rPr>
          <w:szCs w:val="28"/>
        </w:rPr>
        <w:t>31</w:t>
      </w:r>
      <w:r>
        <w:rPr>
          <w:rFonts w:hint="eastAsia"/>
          <w:szCs w:val="28"/>
        </w:rPr>
        <w:t>个</w:t>
      </w:r>
      <w:r w:rsidRPr="004A3EA2">
        <w:rPr>
          <w:szCs w:val="28"/>
        </w:rPr>
        <w:t>省、市和自治区中（不包含港澳台），广西生物质锅炉数量最多，额定出力</w:t>
      </w:r>
      <w:r>
        <w:rPr>
          <w:rFonts w:hint="eastAsia"/>
          <w:szCs w:val="28"/>
        </w:rPr>
        <w:t>规模</w:t>
      </w:r>
      <w:r w:rsidRPr="004A3EA2">
        <w:rPr>
          <w:szCs w:val="28"/>
        </w:rPr>
        <w:t>最大。由</w:t>
      </w:r>
      <w:r>
        <w:rPr>
          <w:rFonts w:hint="eastAsia"/>
          <w:szCs w:val="28"/>
        </w:rPr>
        <w:t>区内</w:t>
      </w:r>
      <w:r w:rsidRPr="004A3EA2">
        <w:rPr>
          <w:szCs w:val="28"/>
        </w:rPr>
        <w:t>空间分布（图</w:t>
      </w:r>
      <w:r w:rsidR="00BC3D38">
        <w:rPr>
          <w:rFonts w:hint="eastAsia"/>
          <w:szCs w:val="28"/>
        </w:rPr>
        <w:t>4</w:t>
      </w:r>
      <w:r w:rsidRPr="004A3EA2">
        <w:rPr>
          <w:szCs w:val="28"/>
        </w:rPr>
        <w:t>）可见，</w:t>
      </w:r>
      <w:r w:rsidRPr="00365248">
        <w:rPr>
          <w:szCs w:val="28"/>
        </w:rPr>
        <w:t>贵港、南宁和桂林三市生物质锅炉数量位居前列，崇左、钦州、河池、来宾、柳州和梧州等地生物质锅炉数量亦均保持在</w:t>
      </w:r>
      <w:r w:rsidRPr="00365248">
        <w:rPr>
          <w:szCs w:val="28"/>
        </w:rPr>
        <w:t>120</w:t>
      </w:r>
      <w:r w:rsidRPr="00365248">
        <w:rPr>
          <w:szCs w:val="28"/>
        </w:rPr>
        <w:t>台以上</w:t>
      </w:r>
      <w:r w:rsidR="00BF46B9">
        <w:rPr>
          <w:rFonts w:hint="eastAsia"/>
          <w:szCs w:val="28"/>
        </w:rPr>
        <w:t>。</w:t>
      </w:r>
    </w:p>
    <w:p w14:paraId="32685403" w14:textId="18B674FB" w:rsidR="00365248" w:rsidRDefault="00BC3D38" w:rsidP="00BF46B9">
      <w:pPr>
        <w:spacing w:line="360" w:lineRule="auto"/>
        <w:ind w:firstLineChars="0" w:firstLine="0"/>
        <w:jc w:val="center"/>
        <w:rPr>
          <w:rFonts w:eastAsia="宋体"/>
        </w:rPr>
      </w:pPr>
      <w:r>
        <w:rPr>
          <w:noProof/>
        </w:rPr>
        <w:drawing>
          <wp:inline distT="0" distB="0" distL="0" distR="0" wp14:anchorId="1CF73F04" wp14:editId="3F5E5C5F">
            <wp:extent cx="3222855" cy="2685103"/>
            <wp:effectExtent l="0" t="0" r="0" b="1270"/>
            <wp:docPr id="1237293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293932" name=""/>
                    <pic:cNvPicPr/>
                  </pic:nvPicPr>
                  <pic:blipFill>
                    <a:blip r:embed="rId11"/>
                    <a:stretch>
                      <a:fillRect/>
                    </a:stretch>
                  </pic:blipFill>
                  <pic:spPr>
                    <a:xfrm>
                      <a:off x="0" y="0"/>
                      <a:ext cx="3235876" cy="2695951"/>
                    </a:xfrm>
                    <a:prstGeom prst="rect">
                      <a:avLst/>
                    </a:prstGeom>
                  </pic:spPr>
                </pic:pic>
              </a:graphicData>
            </a:graphic>
          </wp:inline>
        </w:drawing>
      </w:r>
    </w:p>
    <w:p w14:paraId="676BC4B7" w14:textId="49105621" w:rsidR="00365248" w:rsidRPr="00365248" w:rsidRDefault="00365248" w:rsidP="00BF46B9">
      <w:pPr>
        <w:spacing w:line="560" w:lineRule="exact"/>
        <w:ind w:firstLineChars="0" w:firstLine="0"/>
        <w:jc w:val="center"/>
      </w:pPr>
      <w:r w:rsidRPr="00365248">
        <w:lastRenderedPageBreak/>
        <w:t>图</w:t>
      </w:r>
      <w:r w:rsidR="00BC3D38">
        <w:rPr>
          <w:rFonts w:hint="eastAsia"/>
        </w:rPr>
        <w:t>4</w:t>
      </w:r>
      <w:r w:rsidRPr="00365248">
        <w:t xml:space="preserve"> </w:t>
      </w:r>
      <w:r w:rsidRPr="00365248">
        <w:t>广西壮族自治区生物质锅炉空间分布</w:t>
      </w:r>
      <w:r w:rsidR="00BC3D38">
        <w:rPr>
          <w:rFonts w:hint="eastAsia"/>
        </w:rPr>
        <w:t>（按数量）</w:t>
      </w:r>
    </w:p>
    <w:p w14:paraId="20F0C675" w14:textId="4BE45D4B" w:rsidR="00BF46B9" w:rsidRDefault="00BF46B9" w:rsidP="00365248">
      <w:pPr>
        <w:autoSpaceDE w:val="0"/>
        <w:autoSpaceDN w:val="0"/>
        <w:adjustRightInd w:val="0"/>
        <w:spacing w:line="560" w:lineRule="exact"/>
        <w:ind w:firstLine="640"/>
        <w:rPr>
          <w:szCs w:val="28"/>
        </w:rPr>
      </w:pPr>
      <w:r w:rsidRPr="00BF46B9">
        <w:rPr>
          <w:szCs w:val="28"/>
        </w:rPr>
        <w:t>进一步对广西壮族自治区生物质锅炉在不同行业中的分布特征进行统计分析。结果表明（见图</w:t>
      </w:r>
      <w:r w:rsidR="00743FF1">
        <w:rPr>
          <w:rFonts w:hint="eastAsia"/>
          <w:szCs w:val="28"/>
        </w:rPr>
        <w:t>5</w:t>
      </w:r>
      <w:r w:rsidRPr="00BF46B9">
        <w:rPr>
          <w:szCs w:val="28"/>
        </w:rPr>
        <w:t>），广西生物质锅炉主要集中分布于制糖业、胶合板制造、食品加工、缫丝加工、纸制品加工和中成药加工等行业，这些行业合计占据了区内生物质锅炉的主要装机规模和额定出力水平。相比之下，其余近</w:t>
      </w:r>
      <w:r w:rsidRPr="00BF46B9">
        <w:rPr>
          <w:szCs w:val="28"/>
        </w:rPr>
        <w:t>30</w:t>
      </w:r>
      <w:r w:rsidRPr="00BF46B9">
        <w:rPr>
          <w:szCs w:val="28"/>
        </w:rPr>
        <w:t>个行业合计生物质锅炉数量约</w:t>
      </w:r>
      <w:r w:rsidRPr="00BF46B9">
        <w:rPr>
          <w:szCs w:val="28"/>
        </w:rPr>
        <w:t>600</w:t>
      </w:r>
      <w:r w:rsidRPr="00BF46B9">
        <w:rPr>
          <w:szCs w:val="28"/>
        </w:rPr>
        <w:t>余台，但总额定出力不足</w:t>
      </w:r>
      <w:r w:rsidRPr="00BF46B9">
        <w:rPr>
          <w:szCs w:val="28"/>
        </w:rPr>
        <w:t>3000</w:t>
      </w:r>
      <w:r w:rsidRPr="00BF46B9">
        <w:rPr>
          <w:szCs w:val="28"/>
        </w:rPr>
        <w:t>蒸吨</w:t>
      </w:r>
      <w:r w:rsidRPr="00BF46B9">
        <w:rPr>
          <w:szCs w:val="28"/>
        </w:rPr>
        <w:t>/</w:t>
      </w:r>
      <w:r w:rsidRPr="00BF46B9">
        <w:rPr>
          <w:szCs w:val="28"/>
        </w:rPr>
        <w:t>小时，单体规模普遍偏小。</w:t>
      </w:r>
    </w:p>
    <w:p w14:paraId="7377E18F" w14:textId="77777777" w:rsidR="00365248" w:rsidRDefault="00365248" w:rsidP="00365248">
      <w:pPr>
        <w:spacing w:line="360" w:lineRule="auto"/>
        <w:ind w:firstLine="640"/>
        <w:jc w:val="center"/>
        <w:rPr>
          <w:rFonts w:eastAsia="宋体"/>
        </w:rPr>
      </w:pPr>
      <w:r>
        <w:rPr>
          <w:rFonts w:eastAsia="宋体"/>
          <w:noProof/>
        </w:rPr>
        <w:drawing>
          <wp:inline distT="0" distB="0" distL="114300" distR="114300" wp14:anchorId="4FFDBA4D" wp14:editId="4CE4679A">
            <wp:extent cx="3118453" cy="2351611"/>
            <wp:effectExtent l="0" t="0" r="6350" b="0"/>
            <wp:docPr id="1595763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3121054" cy="2353572"/>
                    </a:xfrm>
                    <a:prstGeom prst="rect">
                      <a:avLst/>
                    </a:prstGeom>
                  </pic:spPr>
                </pic:pic>
              </a:graphicData>
            </a:graphic>
          </wp:inline>
        </w:drawing>
      </w:r>
    </w:p>
    <w:p w14:paraId="59152F32" w14:textId="6EFD6DC3" w:rsidR="00365248" w:rsidRPr="00365248" w:rsidRDefault="00365248" w:rsidP="00BF46B9">
      <w:pPr>
        <w:spacing w:line="560" w:lineRule="exact"/>
        <w:ind w:firstLineChars="0" w:firstLine="0"/>
        <w:jc w:val="center"/>
      </w:pPr>
      <w:r w:rsidRPr="00365248">
        <w:t>图</w:t>
      </w:r>
      <w:r w:rsidR="00743FF1">
        <w:rPr>
          <w:rFonts w:hint="eastAsia"/>
        </w:rPr>
        <w:t>5</w:t>
      </w:r>
      <w:r w:rsidRPr="00365248">
        <w:t xml:space="preserve"> </w:t>
      </w:r>
      <w:r w:rsidRPr="00365248">
        <w:t>广西壮族自治区生物质锅炉</w:t>
      </w:r>
      <w:r w:rsidR="00457C16">
        <w:rPr>
          <w:rFonts w:hint="eastAsia"/>
        </w:rPr>
        <w:t>应用</w:t>
      </w:r>
      <w:r w:rsidRPr="00365248">
        <w:t>行业分布</w:t>
      </w:r>
    </w:p>
    <w:p w14:paraId="2D9F828D" w14:textId="0B3069ED" w:rsidR="00BF46B9" w:rsidRDefault="00BF46B9" w:rsidP="00BF46B9">
      <w:pPr>
        <w:autoSpaceDE w:val="0"/>
        <w:autoSpaceDN w:val="0"/>
        <w:adjustRightInd w:val="0"/>
        <w:spacing w:line="560" w:lineRule="exact"/>
        <w:ind w:firstLine="640"/>
        <w:rPr>
          <w:szCs w:val="28"/>
        </w:rPr>
      </w:pPr>
      <w:r w:rsidRPr="00BF46B9">
        <w:rPr>
          <w:szCs w:val="28"/>
        </w:rPr>
        <w:t>进一步对广西壮族自治区单台生物质锅炉的额定出力结构进行统计分析（见图</w:t>
      </w:r>
      <w:r w:rsidR="00743FF1">
        <w:rPr>
          <w:rFonts w:hint="eastAsia"/>
          <w:szCs w:val="28"/>
        </w:rPr>
        <w:t>6</w:t>
      </w:r>
      <w:r w:rsidRPr="00BF46B9">
        <w:rPr>
          <w:szCs w:val="28"/>
        </w:rPr>
        <w:t>）</w:t>
      </w:r>
      <w:r w:rsidR="00365248" w:rsidRPr="00365248">
        <w:rPr>
          <w:szCs w:val="28"/>
        </w:rPr>
        <w:t>，</w:t>
      </w:r>
      <w:r>
        <w:rPr>
          <w:rFonts w:hint="eastAsia"/>
          <w:szCs w:val="28"/>
        </w:rPr>
        <w:t>发现</w:t>
      </w:r>
      <w:r w:rsidRPr="00BF46B9">
        <w:rPr>
          <w:szCs w:val="28"/>
        </w:rPr>
        <w:t>区内生物质锅炉以小容量机组为主，额定出力在</w:t>
      </w:r>
      <w:r w:rsidRPr="00BF46B9">
        <w:rPr>
          <w:szCs w:val="28"/>
        </w:rPr>
        <w:t>10</w:t>
      </w:r>
      <w:r w:rsidRPr="00BF46B9">
        <w:rPr>
          <w:szCs w:val="28"/>
        </w:rPr>
        <w:t>蒸吨</w:t>
      </w:r>
      <w:r w:rsidRPr="00BF46B9">
        <w:rPr>
          <w:szCs w:val="28"/>
        </w:rPr>
        <w:t>/</w:t>
      </w:r>
      <w:r w:rsidRPr="00BF46B9">
        <w:rPr>
          <w:szCs w:val="28"/>
        </w:rPr>
        <w:t>小时及以下的锅炉数量接近</w:t>
      </w:r>
      <w:r w:rsidRPr="00BF46B9">
        <w:rPr>
          <w:szCs w:val="28"/>
        </w:rPr>
        <w:t>2000</w:t>
      </w:r>
      <w:r w:rsidRPr="00BF46B9">
        <w:rPr>
          <w:szCs w:val="28"/>
        </w:rPr>
        <w:t>台，占生物质锅炉总量的约</w:t>
      </w:r>
      <w:r w:rsidRPr="00BF46B9">
        <w:rPr>
          <w:szCs w:val="28"/>
        </w:rPr>
        <w:t>85%</w:t>
      </w:r>
      <w:r w:rsidRPr="00BF46B9">
        <w:rPr>
          <w:szCs w:val="28"/>
        </w:rPr>
        <w:t>；但该类锅炉合计额定出力不足</w:t>
      </w:r>
      <w:r w:rsidRPr="00BF46B9">
        <w:rPr>
          <w:szCs w:val="28"/>
        </w:rPr>
        <w:t>6000</w:t>
      </w:r>
      <w:r w:rsidRPr="00BF46B9">
        <w:rPr>
          <w:szCs w:val="28"/>
        </w:rPr>
        <w:t>蒸吨</w:t>
      </w:r>
      <w:r w:rsidRPr="00BF46B9">
        <w:rPr>
          <w:szCs w:val="28"/>
        </w:rPr>
        <w:t>/</w:t>
      </w:r>
      <w:r w:rsidRPr="00BF46B9">
        <w:rPr>
          <w:szCs w:val="28"/>
        </w:rPr>
        <w:t>小时，单台锅炉平均额定出力在</w:t>
      </w:r>
      <w:r w:rsidRPr="00BF46B9">
        <w:rPr>
          <w:szCs w:val="28"/>
        </w:rPr>
        <w:t>3</w:t>
      </w:r>
      <w:r w:rsidRPr="00BF46B9">
        <w:rPr>
          <w:szCs w:val="28"/>
        </w:rPr>
        <w:t>蒸吨</w:t>
      </w:r>
      <w:r w:rsidRPr="00BF46B9">
        <w:rPr>
          <w:szCs w:val="28"/>
        </w:rPr>
        <w:t>/</w:t>
      </w:r>
      <w:r w:rsidRPr="00BF46B9">
        <w:rPr>
          <w:szCs w:val="28"/>
        </w:rPr>
        <w:t>小时以下，整体呈现</w:t>
      </w:r>
      <w:r w:rsidRPr="00BF46B9">
        <w:rPr>
          <w:szCs w:val="28"/>
        </w:rPr>
        <w:t>“</w:t>
      </w:r>
      <w:r w:rsidRPr="00BF46B9">
        <w:rPr>
          <w:szCs w:val="28"/>
        </w:rPr>
        <w:t>数量多、单体规模小</w:t>
      </w:r>
      <w:r w:rsidRPr="00BF46B9">
        <w:rPr>
          <w:szCs w:val="28"/>
        </w:rPr>
        <w:t>”</w:t>
      </w:r>
      <w:r w:rsidRPr="00BF46B9">
        <w:rPr>
          <w:szCs w:val="28"/>
        </w:rPr>
        <w:t>的应用特征。</w:t>
      </w:r>
    </w:p>
    <w:p w14:paraId="51BC3AFC" w14:textId="77777777" w:rsidR="00BF46B9" w:rsidRDefault="00BF46B9" w:rsidP="00BF46B9">
      <w:pPr>
        <w:autoSpaceDE w:val="0"/>
        <w:autoSpaceDN w:val="0"/>
        <w:adjustRightInd w:val="0"/>
        <w:spacing w:line="560" w:lineRule="exact"/>
        <w:ind w:firstLine="640"/>
        <w:rPr>
          <w:szCs w:val="28"/>
        </w:rPr>
      </w:pPr>
      <w:r w:rsidRPr="00BF46B9">
        <w:rPr>
          <w:szCs w:val="28"/>
        </w:rPr>
        <w:t>相比之下，额定出力大于</w:t>
      </w:r>
      <w:r w:rsidRPr="00BF46B9">
        <w:rPr>
          <w:szCs w:val="28"/>
        </w:rPr>
        <w:t>65</w:t>
      </w:r>
      <w:r w:rsidRPr="00BF46B9">
        <w:rPr>
          <w:szCs w:val="28"/>
        </w:rPr>
        <w:t>蒸吨</w:t>
      </w:r>
      <w:r w:rsidRPr="00BF46B9">
        <w:rPr>
          <w:szCs w:val="28"/>
        </w:rPr>
        <w:t>/</w:t>
      </w:r>
      <w:r w:rsidRPr="00BF46B9">
        <w:rPr>
          <w:szCs w:val="28"/>
        </w:rPr>
        <w:t>小时的生物质锅炉数量占比虽较低，但其合计额定出力超过</w:t>
      </w:r>
      <w:r w:rsidRPr="00BF46B9">
        <w:rPr>
          <w:szCs w:val="28"/>
        </w:rPr>
        <w:t>8000</w:t>
      </w:r>
      <w:r w:rsidRPr="00BF46B9">
        <w:rPr>
          <w:szCs w:val="28"/>
        </w:rPr>
        <w:t>蒸吨</w:t>
      </w:r>
      <w:r w:rsidRPr="00BF46B9">
        <w:rPr>
          <w:szCs w:val="28"/>
        </w:rPr>
        <w:t>/</w:t>
      </w:r>
      <w:r w:rsidRPr="00BF46B9">
        <w:rPr>
          <w:szCs w:val="28"/>
        </w:rPr>
        <w:t>小时，对全区生物质锅炉装机规模贡献显著，且全部集中应用于制糖工业。</w:t>
      </w:r>
    </w:p>
    <w:p w14:paraId="20456F77" w14:textId="77777777" w:rsidR="00365248" w:rsidRPr="00365248" w:rsidRDefault="00365248" w:rsidP="00365248">
      <w:pPr>
        <w:spacing w:line="360" w:lineRule="auto"/>
        <w:ind w:firstLineChars="0" w:firstLine="0"/>
        <w:jc w:val="center"/>
        <w:rPr>
          <w:rFonts w:eastAsia="宋体"/>
          <w:sz w:val="21"/>
        </w:rPr>
      </w:pPr>
      <w:r w:rsidRPr="00365248">
        <w:rPr>
          <w:rFonts w:eastAsia="宋体"/>
          <w:noProof/>
          <w:sz w:val="21"/>
        </w:rPr>
        <w:lastRenderedPageBreak/>
        <w:drawing>
          <wp:inline distT="0" distB="0" distL="114300" distR="114300" wp14:anchorId="78FAF5F4" wp14:editId="5D420462">
            <wp:extent cx="2865120" cy="1945847"/>
            <wp:effectExtent l="0" t="0" r="0" b="0"/>
            <wp:docPr id="17202884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2884440" cy="1958968"/>
                    </a:xfrm>
                    <a:prstGeom prst="rect">
                      <a:avLst/>
                    </a:prstGeom>
                  </pic:spPr>
                </pic:pic>
              </a:graphicData>
            </a:graphic>
          </wp:inline>
        </w:drawing>
      </w:r>
    </w:p>
    <w:p w14:paraId="1F6D3B8A" w14:textId="7D8B7D78" w:rsidR="00743FF1" w:rsidRPr="00743FF1" w:rsidRDefault="00365248" w:rsidP="00743FF1">
      <w:pPr>
        <w:spacing w:line="560" w:lineRule="exact"/>
        <w:ind w:firstLineChars="0" w:firstLine="0"/>
        <w:jc w:val="center"/>
        <w:rPr>
          <w:szCs w:val="40"/>
        </w:rPr>
      </w:pPr>
      <w:r w:rsidRPr="00743FF1">
        <w:rPr>
          <w:szCs w:val="40"/>
        </w:rPr>
        <w:t>图</w:t>
      </w:r>
      <w:r w:rsidR="00743FF1" w:rsidRPr="00743FF1">
        <w:rPr>
          <w:szCs w:val="40"/>
        </w:rPr>
        <w:t>6</w:t>
      </w:r>
      <w:r w:rsidRPr="00743FF1">
        <w:rPr>
          <w:szCs w:val="40"/>
        </w:rPr>
        <w:t xml:space="preserve"> </w:t>
      </w:r>
      <w:r w:rsidRPr="00743FF1">
        <w:rPr>
          <w:szCs w:val="40"/>
        </w:rPr>
        <w:t>广西壮族自治区生物质锅炉额定出力分布</w:t>
      </w:r>
    </w:p>
    <w:p w14:paraId="7F25E96D" w14:textId="52DDFF49" w:rsidR="00743FF1" w:rsidRDefault="00743FF1">
      <w:pPr>
        <w:autoSpaceDE w:val="0"/>
        <w:autoSpaceDN w:val="0"/>
        <w:adjustRightInd w:val="0"/>
        <w:spacing w:line="560" w:lineRule="exact"/>
        <w:ind w:firstLine="640"/>
        <w:rPr>
          <w:szCs w:val="28"/>
        </w:rPr>
      </w:pPr>
      <w:r w:rsidRPr="00743FF1">
        <w:rPr>
          <w:szCs w:val="28"/>
        </w:rPr>
        <w:t>从装备构成和技术路径看，我国生物质锅炉既包括专用生物质成型燃料锅炉，也包括由燃煤锅炉改造而成的生物质锅炉，不同类型锅炉在炉型结构、燃烧方式以及自动化控制水平等方面差异显著。以广西地区</w:t>
      </w:r>
      <w:r w:rsidRPr="00743FF1">
        <w:rPr>
          <w:szCs w:val="28"/>
        </w:rPr>
        <w:t>21</w:t>
      </w:r>
      <w:r w:rsidRPr="00743FF1">
        <w:rPr>
          <w:szCs w:val="28"/>
        </w:rPr>
        <w:t>家生物质锅炉企业的实地调研结果为例，锅炉额定容量主要集中在</w:t>
      </w:r>
      <w:r w:rsidRPr="00743FF1">
        <w:rPr>
          <w:szCs w:val="28"/>
        </w:rPr>
        <w:t>2</w:t>
      </w:r>
      <w:r w:rsidRPr="00743FF1">
        <w:rPr>
          <w:szCs w:val="28"/>
        </w:rPr>
        <w:t>～</w:t>
      </w:r>
      <w:r w:rsidRPr="00743FF1">
        <w:rPr>
          <w:szCs w:val="28"/>
        </w:rPr>
        <w:t>40</w:t>
      </w:r>
      <w:r w:rsidR="00073888" w:rsidRPr="00BF46B9">
        <w:rPr>
          <w:szCs w:val="28"/>
        </w:rPr>
        <w:t>蒸吨</w:t>
      </w:r>
      <w:r w:rsidR="00073888" w:rsidRPr="00BF46B9">
        <w:rPr>
          <w:szCs w:val="28"/>
        </w:rPr>
        <w:t>/</w:t>
      </w:r>
      <w:r w:rsidR="00073888" w:rsidRPr="00BF46B9">
        <w:rPr>
          <w:szCs w:val="28"/>
        </w:rPr>
        <w:t>小时</w:t>
      </w:r>
      <w:r w:rsidRPr="00743FF1">
        <w:rPr>
          <w:szCs w:val="28"/>
        </w:rPr>
        <w:t>之间，平均容量为</w:t>
      </w:r>
      <w:r w:rsidRPr="00743FF1">
        <w:rPr>
          <w:szCs w:val="28"/>
        </w:rPr>
        <w:t>10.85</w:t>
      </w:r>
      <w:r w:rsidR="00073888" w:rsidRPr="00BF46B9">
        <w:rPr>
          <w:szCs w:val="28"/>
        </w:rPr>
        <w:t>蒸吨</w:t>
      </w:r>
      <w:r w:rsidR="00073888" w:rsidRPr="00BF46B9">
        <w:rPr>
          <w:szCs w:val="28"/>
        </w:rPr>
        <w:t>/</w:t>
      </w:r>
      <w:r w:rsidR="00073888" w:rsidRPr="00BF46B9">
        <w:rPr>
          <w:szCs w:val="28"/>
        </w:rPr>
        <w:t>小时</w:t>
      </w:r>
      <w:r w:rsidRPr="00743FF1">
        <w:rPr>
          <w:szCs w:val="28"/>
        </w:rPr>
        <w:t>，其中</w:t>
      </w:r>
      <w:r w:rsidRPr="00743FF1">
        <w:rPr>
          <w:szCs w:val="28"/>
        </w:rPr>
        <w:t>15</w:t>
      </w:r>
      <w:r w:rsidR="00073888" w:rsidRPr="00BF46B9">
        <w:rPr>
          <w:szCs w:val="28"/>
        </w:rPr>
        <w:t>蒸吨</w:t>
      </w:r>
      <w:r w:rsidR="00073888" w:rsidRPr="00BF46B9">
        <w:rPr>
          <w:szCs w:val="28"/>
        </w:rPr>
        <w:t>/</w:t>
      </w:r>
      <w:r w:rsidR="00073888" w:rsidRPr="00BF46B9">
        <w:rPr>
          <w:szCs w:val="28"/>
        </w:rPr>
        <w:t>小时</w:t>
      </w:r>
      <w:r w:rsidRPr="00743FF1">
        <w:rPr>
          <w:szCs w:val="28"/>
        </w:rPr>
        <w:t>以下的中小型锅炉</w:t>
      </w:r>
      <w:proofErr w:type="gramStart"/>
      <w:r w:rsidRPr="00743FF1">
        <w:rPr>
          <w:szCs w:val="28"/>
        </w:rPr>
        <w:t>占比较</w:t>
      </w:r>
      <w:proofErr w:type="gramEnd"/>
      <w:r w:rsidRPr="00743FF1">
        <w:rPr>
          <w:szCs w:val="28"/>
        </w:rPr>
        <w:t>高；同时，燃料日用量差异范围为</w:t>
      </w:r>
      <w:r w:rsidRPr="00743FF1">
        <w:rPr>
          <w:szCs w:val="28"/>
        </w:rPr>
        <w:t>1.3</w:t>
      </w:r>
      <w:r w:rsidRPr="00743FF1">
        <w:rPr>
          <w:szCs w:val="28"/>
        </w:rPr>
        <w:t>～</w:t>
      </w:r>
      <w:r w:rsidRPr="00743FF1">
        <w:rPr>
          <w:szCs w:val="28"/>
        </w:rPr>
        <w:t>240</w:t>
      </w:r>
      <w:r w:rsidR="00073888" w:rsidRPr="00BF46B9">
        <w:rPr>
          <w:szCs w:val="28"/>
        </w:rPr>
        <w:t>蒸吨</w:t>
      </w:r>
      <w:r w:rsidR="00073888" w:rsidRPr="00BF46B9">
        <w:rPr>
          <w:szCs w:val="28"/>
        </w:rPr>
        <w:t>/</w:t>
      </w:r>
      <w:r w:rsidR="00073888" w:rsidRPr="00BF46B9">
        <w:rPr>
          <w:szCs w:val="28"/>
        </w:rPr>
        <w:t>小时</w:t>
      </w:r>
      <w:r w:rsidRPr="00743FF1">
        <w:rPr>
          <w:szCs w:val="28"/>
        </w:rPr>
        <w:t>，平均为</w:t>
      </w:r>
      <w:r w:rsidRPr="00743FF1">
        <w:rPr>
          <w:szCs w:val="28"/>
        </w:rPr>
        <w:t>39.61</w:t>
      </w:r>
      <w:r w:rsidR="00073888" w:rsidRPr="00BF46B9">
        <w:rPr>
          <w:szCs w:val="28"/>
        </w:rPr>
        <w:t>蒸吨</w:t>
      </w:r>
      <w:r w:rsidR="00073888" w:rsidRPr="00BF46B9">
        <w:rPr>
          <w:szCs w:val="28"/>
        </w:rPr>
        <w:t>/</w:t>
      </w:r>
      <w:r w:rsidR="00073888" w:rsidRPr="00BF46B9">
        <w:rPr>
          <w:szCs w:val="28"/>
        </w:rPr>
        <w:t>小时</w:t>
      </w:r>
      <w:r w:rsidRPr="00743FF1">
        <w:rPr>
          <w:szCs w:val="28"/>
        </w:rPr>
        <w:t>，反映出不同锅炉在规模水平和运行强度方面存在明显差异，具体情况见表</w:t>
      </w:r>
      <w:r w:rsidRPr="00743FF1">
        <w:rPr>
          <w:szCs w:val="28"/>
        </w:rPr>
        <w:t>1</w:t>
      </w:r>
      <w:r w:rsidRPr="00743FF1">
        <w:rPr>
          <w:szCs w:val="28"/>
        </w:rPr>
        <w:t>。</w:t>
      </w:r>
    </w:p>
    <w:p w14:paraId="5B41A5AE" w14:textId="6A659F68" w:rsidR="00445F8C" w:rsidRDefault="00743FF1">
      <w:pPr>
        <w:autoSpaceDE w:val="0"/>
        <w:autoSpaceDN w:val="0"/>
        <w:adjustRightInd w:val="0"/>
        <w:spacing w:line="560" w:lineRule="exact"/>
        <w:ind w:firstLine="640"/>
        <w:jc w:val="left"/>
        <w:rPr>
          <w:szCs w:val="28"/>
        </w:rPr>
      </w:pPr>
      <w:r>
        <w:t>调研结果表明，部分企业在燃料品质控制、运行管理制度和自动化控制水平等方面已具备一定基础，能够通过规范给料、配风和负荷调节实现相对稳定运行；但仍有相当数量的中小企业以人工经验操作为主，对燃烧工况的精细化调控能力有限。</w:t>
      </w:r>
    </w:p>
    <w:p w14:paraId="007DE4F3" w14:textId="1C1F402C" w:rsidR="00445F8C" w:rsidRDefault="00084192">
      <w:pPr>
        <w:autoSpaceDE w:val="0"/>
        <w:autoSpaceDN w:val="0"/>
        <w:adjustRightInd w:val="0"/>
        <w:spacing w:line="560" w:lineRule="exact"/>
        <w:ind w:firstLineChars="0" w:firstLine="0"/>
        <w:jc w:val="center"/>
        <w:rPr>
          <w:szCs w:val="28"/>
        </w:rPr>
      </w:pPr>
      <w:r>
        <w:rPr>
          <w:szCs w:val="28"/>
        </w:rPr>
        <w:t>表</w:t>
      </w:r>
      <w:r w:rsidR="00B72B6D">
        <w:rPr>
          <w:rFonts w:hint="eastAsia"/>
          <w:szCs w:val="28"/>
        </w:rPr>
        <w:t>1</w:t>
      </w:r>
      <w:r>
        <w:rPr>
          <w:szCs w:val="28"/>
        </w:rPr>
        <w:t xml:space="preserve"> </w:t>
      </w:r>
      <w:r>
        <w:rPr>
          <w:szCs w:val="28"/>
        </w:rPr>
        <w:t>编制组实测的生物质锅炉基本信息</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3675"/>
        <w:gridCol w:w="1902"/>
        <w:gridCol w:w="2208"/>
      </w:tblGrid>
      <w:tr w:rsidR="00445F8C" w14:paraId="30DAC660" w14:textId="77777777" w:rsidTr="004A3EA2">
        <w:trPr>
          <w:trHeight w:val="352"/>
          <w:tblHeader/>
          <w:jc w:val="center"/>
        </w:trPr>
        <w:tc>
          <w:tcPr>
            <w:tcW w:w="755" w:type="pct"/>
            <w:tcBorders>
              <w:top w:val="single" w:sz="12" w:space="0" w:color="auto"/>
              <w:left w:val="nil"/>
              <w:bottom w:val="single" w:sz="8" w:space="0" w:color="auto"/>
              <w:right w:val="nil"/>
            </w:tcBorders>
            <w:noWrap/>
            <w:vAlign w:val="center"/>
          </w:tcPr>
          <w:p w14:paraId="78C4DE7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序号</w:t>
            </w:r>
          </w:p>
        </w:tc>
        <w:tc>
          <w:tcPr>
            <w:tcW w:w="2004" w:type="pct"/>
            <w:tcBorders>
              <w:top w:val="single" w:sz="12" w:space="0" w:color="auto"/>
              <w:left w:val="nil"/>
              <w:bottom w:val="single" w:sz="8" w:space="0" w:color="auto"/>
              <w:right w:val="nil"/>
            </w:tcBorders>
            <w:noWrap/>
            <w:vAlign w:val="center"/>
          </w:tcPr>
          <w:p w14:paraId="33988C0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锅炉类型</w:t>
            </w:r>
          </w:p>
        </w:tc>
        <w:tc>
          <w:tcPr>
            <w:tcW w:w="1037" w:type="pct"/>
            <w:tcBorders>
              <w:top w:val="single" w:sz="12" w:space="0" w:color="auto"/>
              <w:left w:val="nil"/>
              <w:bottom w:val="single" w:sz="8" w:space="0" w:color="auto"/>
              <w:right w:val="nil"/>
            </w:tcBorders>
            <w:noWrap/>
            <w:vAlign w:val="center"/>
          </w:tcPr>
          <w:p w14:paraId="7E40981E"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锅炉容量</w:t>
            </w:r>
          </w:p>
          <w:p w14:paraId="0F18C437"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(t/h)</w:t>
            </w:r>
          </w:p>
        </w:tc>
        <w:tc>
          <w:tcPr>
            <w:tcW w:w="1204" w:type="pct"/>
            <w:tcBorders>
              <w:top w:val="single" w:sz="12" w:space="0" w:color="auto"/>
              <w:left w:val="nil"/>
              <w:bottom w:val="single" w:sz="8" w:space="0" w:color="auto"/>
              <w:right w:val="nil"/>
            </w:tcBorders>
            <w:noWrap/>
            <w:vAlign w:val="center"/>
          </w:tcPr>
          <w:p w14:paraId="442C3BA3"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燃料使用量</w:t>
            </w:r>
          </w:p>
          <w:p w14:paraId="6FF8A4E5"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(t/d)</w:t>
            </w:r>
          </w:p>
        </w:tc>
      </w:tr>
      <w:tr w:rsidR="00445F8C" w14:paraId="595F239C" w14:textId="77777777" w:rsidTr="004A3EA2">
        <w:trPr>
          <w:trHeight w:val="397"/>
          <w:jc w:val="center"/>
        </w:trPr>
        <w:tc>
          <w:tcPr>
            <w:tcW w:w="755" w:type="pct"/>
            <w:tcBorders>
              <w:top w:val="single" w:sz="8" w:space="0" w:color="auto"/>
              <w:left w:val="nil"/>
              <w:bottom w:val="nil"/>
              <w:right w:val="nil"/>
            </w:tcBorders>
            <w:noWrap/>
            <w:vAlign w:val="center"/>
          </w:tcPr>
          <w:p w14:paraId="53F91AFA"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1-HT</w:t>
            </w:r>
          </w:p>
        </w:tc>
        <w:tc>
          <w:tcPr>
            <w:tcW w:w="2004" w:type="pct"/>
            <w:tcBorders>
              <w:top w:val="single" w:sz="8" w:space="0" w:color="auto"/>
              <w:left w:val="nil"/>
              <w:bottom w:val="nil"/>
              <w:right w:val="nil"/>
            </w:tcBorders>
            <w:noWrap/>
            <w:vAlign w:val="center"/>
          </w:tcPr>
          <w:p w14:paraId="168CDB50"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single" w:sz="8" w:space="0" w:color="auto"/>
              <w:left w:val="nil"/>
              <w:bottom w:val="nil"/>
              <w:right w:val="nil"/>
            </w:tcBorders>
            <w:vAlign w:val="center"/>
          </w:tcPr>
          <w:p w14:paraId="34C65485"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40</w:t>
            </w:r>
          </w:p>
        </w:tc>
        <w:tc>
          <w:tcPr>
            <w:tcW w:w="1204" w:type="pct"/>
            <w:tcBorders>
              <w:top w:val="single" w:sz="8" w:space="0" w:color="auto"/>
              <w:left w:val="nil"/>
              <w:bottom w:val="nil"/>
              <w:right w:val="nil"/>
            </w:tcBorders>
            <w:vAlign w:val="center"/>
          </w:tcPr>
          <w:p w14:paraId="37A53E98"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240</w:t>
            </w:r>
          </w:p>
        </w:tc>
      </w:tr>
      <w:tr w:rsidR="00445F8C" w14:paraId="53F41C32" w14:textId="77777777" w:rsidTr="004A3EA2">
        <w:trPr>
          <w:trHeight w:val="397"/>
          <w:jc w:val="center"/>
        </w:trPr>
        <w:tc>
          <w:tcPr>
            <w:tcW w:w="755" w:type="pct"/>
            <w:tcBorders>
              <w:top w:val="nil"/>
              <w:left w:val="nil"/>
              <w:bottom w:val="nil"/>
              <w:right w:val="nil"/>
            </w:tcBorders>
            <w:noWrap/>
            <w:vAlign w:val="center"/>
          </w:tcPr>
          <w:p w14:paraId="31E60212"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2-WSM</w:t>
            </w:r>
          </w:p>
        </w:tc>
        <w:tc>
          <w:tcPr>
            <w:tcW w:w="2004" w:type="pct"/>
            <w:tcBorders>
              <w:top w:val="nil"/>
              <w:left w:val="nil"/>
              <w:bottom w:val="nil"/>
              <w:right w:val="nil"/>
            </w:tcBorders>
            <w:noWrap/>
            <w:vAlign w:val="center"/>
          </w:tcPr>
          <w:p w14:paraId="5FEA43A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燃煤锅炉改造的生物质锅炉</w:t>
            </w:r>
          </w:p>
        </w:tc>
        <w:tc>
          <w:tcPr>
            <w:tcW w:w="1037" w:type="pct"/>
            <w:tcBorders>
              <w:top w:val="nil"/>
              <w:left w:val="nil"/>
              <w:bottom w:val="nil"/>
              <w:right w:val="nil"/>
            </w:tcBorders>
            <w:vAlign w:val="center"/>
          </w:tcPr>
          <w:p w14:paraId="39334D91"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2</w:t>
            </w:r>
          </w:p>
        </w:tc>
        <w:tc>
          <w:tcPr>
            <w:tcW w:w="1204" w:type="pct"/>
            <w:tcBorders>
              <w:top w:val="nil"/>
              <w:left w:val="nil"/>
              <w:bottom w:val="nil"/>
              <w:right w:val="nil"/>
            </w:tcBorders>
            <w:vAlign w:val="center"/>
          </w:tcPr>
          <w:p w14:paraId="003387F9"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w:t>
            </w:r>
            <w:r w:rsidRPr="000E6DB7">
              <w:rPr>
                <w:rFonts w:eastAsia="仿宋"/>
                <w:sz w:val="24"/>
                <w:lang w:bidi="ar"/>
              </w:rPr>
              <w:t>.</w:t>
            </w:r>
            <w:r w:rsidRPr="000E6DB7">
              <w:rPr>
                <w:sz w:val="24"/>
                <w:lang w:bidi="ar"/>
              </w:rPr>
              <w:t>5</w:t>
            </w:r>
          </w:p>
        </w:tc>
      </w:tr>
      <w:tr w:rsidR="00445F8C" w14:paraId="2EAA9596" w14:textId="77777777" w:rsidTr="004A3EA2">
        <w:trPr>
          <w:trHeight w:val="397"/>
          <w:jc w:val="center"/>
        </w:trPr>
        <w:tc>
          <w:tcPr>
            <w:tcW w:w="755" w:type="pct"/>
            <w:tcBorders>
              <w:top w:val="nil"/>
              <w:left w:val="nil"/>
              <w:bottom w:val="nil"/>
              <w:right w:val="nil"/>
            </w:tcBorders>
            <w:noWrap/>
            <w:vAlign w:val="center"/>
          </w:tcPr>
          <w:p w14:paraId="56EA819B"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3-HX</w:t>
            </w:r>
          </w:p>
        </w:tc>
        <w:tc>
          <w:tcPr>
            <w:tcW w:w="2004" w:type="pct"/>
            <w:tcBorders>
              <w:top w:val="nil"/>
              <w:left w:val="nil"/>
              <w:bottom w:val="nil"/>
              <w:right w:val="nil"/>
            </w:tcBorders>
            <w:noWrap/>
            <w:vAlign w:val="center"/>
          </w:tcPr>
          <w:p w14:paraId="7D7AFE8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72849953"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8</w:t>
            </w:r>
          </w:p>
        </w:tc>
        <w:tc>
          <w:tcPr>
            <w:tcW w:w="1204" w:type="pct"/>
            <w:tcBorders>
              <w:top w:val="nil"/>
              <w:left w:val="nil"/>
              <w:bottom w:val="nil"/>
              <w:right w:val="nil"/>
            </w:tcBorders>
            <w:vAlign w:val="center"/>
          </w:tcPr>
          <w:p w14:paraId="63FAFC3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w:t>
            </w:r>
            <w:r w:rsidRPr="000E6DB7">
              <w:rPr>
                <w:rFonts w:eastAsia="仿宋"/>
                <w:sz w:val="24"/>
                <w:lang w:bidi="ar"/>
              </w:rPr>
              <w:t>.</w:t>
            </w:r>
            <w:r w:rsidRPr="000E6DB7">
              <w:rPr>
                <w:sz w:val="24"/>
                <w:lang w:bidi="ar"/>
              </w:rPr>
              <w:t>3</w:t>
            </w:r>
          </w:p>
        </w:tc>
      </w:tr>
      <w:tr w:rsidR="00445F8C" w14:paraId="507FEE03" w14:textId="77777777" w:rsidTr="004A3EA2">
        <w:trPr>
          <w:trHeight w:val="397"/>
          <w:jc w:val="center"/>
        </w:trPr>
        <w:tc>
          <w:tcPr>
            <w:tcW w:w="755" w:type="pct"/>
            <w:tcBorders>
              <w:top w:val="nil"/>
              <w:left w:val="nil"/>
              <w:bottom w:val="nil"/>
              <w:right w:val="nil"/>
            </w:tcBorders>
            <w:noWrap/>
            <w:vAlign w:val="center"/>
          </w:tcPr>
          <w:p w14:paraId="61395988"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4-JH</w:t>
            </w:r>
          </w:p>
        </w:tc>
        <w:tc>
          <w:tcPr>
            <w:tcW w:w="2004" w:type="pct"/>
            <w:tcBorders>
              <w:top w:val="nil"/>
              <w:left w:val="nil"/>
              <w:bottom w:val="nil"/>
              <w:right w:val="nil"/>
            </w:tcBorders>
            <w:noWrap/>
            <w:vAlign w:val="center"/>
          </w:tcPr>
          <w:p w14:paraId="702C9F87"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燃煤锅炉改造的生物质锅炉</w:t>
            </w:r>
          </w:p>
        </w:tc>
        <w:tc>
          <w:tcPr>
            <w:tcW w:w="1037" w:type="pct"/>
            <w:tcBorders>
              <w:top w:val="nil"/>
              <w:left w:val="nil"/>
              <w:bottom w:val="nil"/>
              <w:right w:val="nil"/>
            </w:tcBorders>
            <w:vAlign w:val="center"/>
          </w:tcPr>
          <w:p w14:paraId="7AF0F82C"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10</w:t>
            </w:r>
          </w:p>
        </w:tc>
        <w:tc>
          <w:tcPr>
            <w:tcW w:w="1204" w:type="pct"/>
            <w:tcBorders>
              <w:top w:val="nil"/>
              <w:left w:val="nil"/>
              <w:bottom w:val="nil"/>
              <w:right w:val="nil"/>
            </w:tcBorders>
            <w:vAlign w:val="center"/>
          </w:tcPr>
          <w:p w14:paraId="096DB330"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23</w:t>
            </w:r>
          </w:p>
        </w:tc>
      </w:tr>
      <w:tr w:rsidR="00445F8C" w14:paraId="03448606" w14:textId="77777777" w:rsidTr="004A3EA2">
        <w:trPr>
          <w:trHeight w:val="397"/>
          <w:jc w:val="center"/>
        </w:trPr>
        <w:tc>
          <w:tcPr>
            <w:tcW w:w="755" w:type="pct"/>
            <w:tcBorders>
              <w:top w:val="nil"/>
              <w:left w:val="nil"/>
              <w:bottom w:val="nil"/>
              <w:right w:val="nil"/>
            </w:tcBorders>
            <w:noWrap/>
            <w:vAlign w:val="center"/>
          </w:tcPr>
          <w:p w14:paraId="56DABE0F"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lastRenderedPageBreak/>
              <w:t>5-HL1</w:t>
            </w:r>
          </w:p>
        </w:tc>
        <w:tc>
          <w:tcPr>
            <w:tcW w:w="2004" w:type="pct"/>
            <w:tcBorders>
              <w:top w:val="nil"/>
              <w:left w:val="nil"/>
              <w:bottom w:val="nil"/>
              <w:right w:val="nil"/>
            </w:tcBorders>
            <w:noWrap/>
            <w:vAlign w:val="center"/>
          </w:tcPr>
          <w:p w14:paraId="20BA1E8B"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燃煤锅炉改造的生物质锅炉</w:t>
            </w:r>
          </w:p>
        </w:tc>
        <w:tc>
          <w:tcPr>
            <w:tcW w:w="1037" w:type="pct"/>
            <w:tcBorders>
              <w:top w:val="nil"/>
              <w:left w:val="nil"/>
              <w:bottom w:val="nil"/>
              <w:right w:val="nil"/>
            </w:tcBorders>
            <w:vAlign w:val="center"/>
          </w:tcPr>
          <w:p w14:paraId="1F326CDA"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15</w:t>
            </w:r>
          </w:p>
        </w:tc>
        <w:tc>
          <w:tcPr>
            <w:tcW w:w="1204" w:type="pct"/>
            <w:tcBorders>
              <w:top w:val="nil"/>
              <w:left w:val="nil"/>
              <w:bottom w:val="nil"/>
              <w:right w:val="nil"/>
            </w:tcBorders>
            <w:vAlign w:val="center"/>
          </w:tcPr>
          <w:p w14:paraId="6C869D11"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45</w:t>
            </w:r>
          </w:p>
        </w:tc>
      </w:tr>
      <w:tr w:rsidR="00445F8C" w14:paraId="2A90FD0D" w14:textId="77777777" w:rsidTr="004A3EA2">
        <w:trPr>
          <w:trHeight w:val="397"/>
          <w:jc w:val="center"/>
        </w:trPr>
        <w:tc>
          <w:tcPr>
            <w:tcW w:w="755" w:type="pct"/>
            <w:tcBorders>
              <w:top w:val="nil"/>
              <w:left w:val="nil"/>
              <w:bottom w:val="nil"/>
              <w:right w:val="nil"/>
            </w:tcBorders>
            <w:noWrap/>
            <w:vAlign w:val="center"/>
          </w:tcPr>
          <w:p w14:paraId="76D63692"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5-HL2</w:t>
            </w:r>
          </w:p>
        </w:tc>
        <w:tc>
          <w:tcPr>
            <w:tcW w:w="2004" w:type="pct"/>
            <w:tcBorders>
              <w:top w:val="nil"/>
              <w:left w:val="nil"/>
              <w:bottom w:val="nil"/>
              <w:right w:val="nil"/>
            </w:tcBorders>
            <w:noWrap/>
            <w:vAlign w:val="center"/>
          </w:tcPr>
          <w:p w14:paraId="12F86732"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燃煤锅炉改造的生物质锅炉</w:t>
            </w:r>
          </w:p>
        </w:tc>
        <w:tc>
          <w:tcPr>
            <w:tcW w:w="1037" w:type="pct"/>
            <w:tcBorders>
              <w:top w:val="nil"/>
              <w:left w:val="nil"/>
              <w:bottom w:val="nil"/>
              <w:right w:val="nil"/>
            </w:tcBorders>
            <w:vAlign w:val="center"/>
          </w:tcPr>
          <w:p w14:paraId="5E9B9FC9"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15</w:t>
            </w:r>
          </w:p>
        </w:tc>
        <w:tc>
          <w:tcPr>
            <w:tcW w:w="1204" w:type="pct"/>
            <w:tcBorders>
              <w:top w:val="nil"/>
              <w:left w:val="nil"/>
              <w:bottom w:val="nil"/>
              <w:right w:val="nil"/>
            </w:tcBorders>
            <w:vAlign w:val="center"/>
          </w:tcPr>
          <w:p w14:paraId="134DCBD2"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45</w:t>
            </w:r>
          </w:p>
        </w:tc>
      </w:tr>
      <w:tr w:rsidR="00445F8C" w14:paraId="089D01A2" w14:textId="77777777" w:rsidTr="004A3EA2">
        <w:trPr>
          <w:trHeight w:val="397"/>
          <w:jc w:val="center"/>
        </w:trPr>
        <w:tc>
          <w:tcPr>
            <w:tcW w:w="755" w:type="pct"/>
            <w:tcBorders>
              <w:top w:val="nil"/>
              <w:left w:val="nil"/>
              <w:bottom w:val="nil"/>
              <w:right w:val="nil"/>
            </w:tcBorders>
            <w:noWrap/>
            <w:vAlign w:val="center"/>
          </w:tcPr>
          <w:p w14:paraId="17489352"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6-DH</w:t>
            </w:r>
          </w:p>
        </w:tc>
        <w:tc>
          <w:tcPr>
            <w:tcW w:w="2004" w:type="pct"/>
            <w:tcBorders>
              <w:top w:val="nil"/>
              <w:left w:val="nil"/>
              <w:bottom w:val="nil"/>
              <w:right w:val="nil"/>
            </w:tcBorders>
            <w:noWrap/>
            <w:vAlign w:val="center"/>
          </w:tcPr>
          <w:p w14:paraId="5648821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36B362E7"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8</w:t>
            </w:r>
          </w:p>
        </w:tc>
        <w:tc>
          <w:tcPr>
            <w:tcW w:w="1204" w:type="pct"/>
            <w:tcBorders>
              <w:top w:val="nil"/>
              <w:left w:val="nil"/>
              <w:bottom w:val="nil"/>
              <w:right w:val="nil"/>
            </w:tcBorders>
            <w:vAlign w:val="center"/>
          </w:tcPr>
          <w:p w14:paraId="1AE61AC0"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10</w:t>
            </w:r>
          </w:p>
        </w:tc>
      </w:tr>
      <w:tr w:rsidR="00445F8C" w14:paraId="3E3C76BA" w14:textId="77777777" w:rsidTr="004A3EA2">
        <w:trPr>
          <w:trHeight w:val="397"/>
          <w:jc w:val="center"/>
        </w:trPr>
        <w:tc>
          <w:tcPr>
            <w:tcW w:w="755" w:type="pct"/>
            <w:tcBorders>
              <w:top w:val="nil"/>
              <w:left w:val="nil"/>
              <w:bottom w:val="nil"/>
              <w:right w:val="nil"/>
            </w:tcBorders>
            <w:noWrap/>
            <w:vAlign w:val="center"/>
          </w:tcPr>
          <w:p w14:paraId="0A545B14"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7-FS</w:t>
            </w:r>
          </w:p>
        </w:tc>
        <w:tc>
          <w:tcPr>
            <w:tcW w:w="2004" w:type="pct"/>
            <w:tcBorders>
              <w:top w:val="nil"/>
              <w:left w:val="nil"/>
              <w:bottom w:val="nil"/>
              <w:right w:val="nil"/>
            </w:tcBorders>
            <w:noWrap/>
            <w:vAlign w:val="center"/>
          </w:tcPr>
          <w:p w14:paraId="6136BCB8"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0BF2D05D"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12</w:t>
            </w:r>
          </w:p>
        </w:tc>
        <w:tc>
          <w:tcPr>
            <w:tcW w:w="1204" w:type="pct"/>
            <w:tcBorders>
              <w:top w:val="nil"/>
              <w:left w:val="nil"/>
              <w:bottom w:val="nil"/>
              <w:right w:val="nil"/>
            </w:tcBorders>
            <w:vAlign w:val="center"/>
          </w:tcPr>
          <w:p w14:paraId="7D303A60"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20</w:t>
            </w:r>
          </w:p>
        </w:tc>
      </w:tr>
      <w:tr w:rsidR="00445F8C" w14:paraId="48519FFB" w14:textId="77777777" w:rsidTr="00743FF1">
        <w:trPr>
          <w:trHeight w:val="397"/>
          <w:jc w:val="center"/>
        </w:trPr>
        <w:tc>
          <w:tcPr>
            <w:tcW w:w="755" w:type="pct"/>
            <w:tcBorders>
              <w:top w:val="nil"/>
              <w:left w:val="nil"/>
              <w:bottom w:val="nil"/>
              <w:right w:val="nil"/>
            </w:tcBorders>
            <w:noWrap/>
            <w:vAlign w:val="center"/>
          </w:tcPr>
          <w:p w14:paraId="30A38F2B"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8-LB</w:t>
            </w:r>
          </w:p>
        </w:tc>
        <w:tc>
          <w:tcPr>
            <w:tcW w:w="2004" w:type="pct"/>
            <w:tcBorders>
              <w:top w:val="nil"/>
              <w:left w:val="nil"/>
              <w:bottom w:val="nil"/>
              <w:right w:val="nil"/>
            </w:tcBorders>
            <w:noWrap/>
            <w:vAlign w:val="center"/>
          </w:tcPr>
          <w:p w14:paraId="0DB8370C"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6F247357"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15</w:t>
            </w:r>
          </w:p>
        </w:tc>
        <w:tc>
          <w:tcPr>
            <w:tcW w:w="1204" w:type="pct"/>
            <w:tcBorders>
              <w:top w:val="nil"/>
              <w:left w:val="nil"/>
              <w:bottom w:val="nil"/>
              <w:right w:val="nil"/>
            </w:tcBorders>
            <w:vAlign w:val="center"/>
          </w:tcPr>
          <w:p w14:paraId="6469C258"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80</w:t>
            </w:r>
          </w:p>
        </w:tc>
      </w:tr>
      <w:tr w:rsidR="00445F8C" w14:paraId="17C9AE5B" w14:textId="77777777" w:rsidTr="00743FF1">
        <w:trPr>
          <w:trHeight w:val="397"/>
          <w:jc w:val="center"/>
        </w:trPr>
        <w:tc>
          <w:tcPr>
            <w:tcW w:w="755" w:type="pct"/>
            <w:tcBorders>
              <w:top w:val="nil"/>
              <w:left w:val="nil"/>
              <w:bottom w:val="nil"/>
              <w:right w:val="nil"/>
            </w:tcBorders>
            <w:noWrap/>
            <w:vAlign w:val="center"/>
          </w:tcPr>
          <w:p w14:paraId="7E733D3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9-BKL</w:t>
            </w:r>
          </w:p>
        </w:tc>
        <w:tc>
          <w:tcPr>
            <w:tcW w:w="2004" w:type="pct"/>
            <w:tcBorders>
              <w:top w:val="nil"/>
              <w:left w:val="nil"/>
              <w:bottom w:val="nil"/>
              <w:right w:val="nil"/>
            </w:tcBorders>
            <w:noWrap/>
            <w:vAlign w:val="center"/>
          </w:tcPr>
          <w:p w14:paraId="2601644B"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生物质半气化炉</w:t>
            </w:r>
          </w:p>
        </w:tc>
        <w:tc>
          <w:tcPr>
            <w:tcW w:w="1037" w:type="pct"/>
            <w:tcBorders>
              <w:top w:val="nil"/>
              <w:left w:val="nil"/>
              <w:bottom w:val="nil"/>
              <w:right w:val="nil"/>
            </w:tcBorders>
            <w:vAlign w:val="center"/>
          </w:tcPr>
          <w:p w14:paraId="1E7152F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p>
        </w:tc>
        <w:tc>
          <w:tcPr>
            <w:tcW w:w="1204" w:type="pct"/>
            <w:tcBorders>
              <w:top w:val="nil"/>
              <w:left w:val="nil"/>
              <w:bottom w:val="nil"/>
              <w:right w:val="nil"/>
            </w:tcBorders>
            <w:vAlign w:val="center"/>
          </w:tcPr>
          <w:p w14:paraId="7C88664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3</w:t>
            </w:r>
            <w:r w:rsidRPr="000E6DB7">
              <w:rPr>
                <w:rFonts w:eastAsia="仿宋"/>
                <w:sz w:val="24"/>
                <w:lang w:bidi="ar"/>
              </w:rPr>
              <w:t>.</w:t>
            </w:r>
            <w:r w:rsidRPr="000E6DB7">
              <w:rPr>
                <w:sz w:val="24"/>
                <w:lang w:bidi="ar"/>
              </w:rPr>
              <w:t>5</w:t>
            </w:r>
          </w:p>
        </w:tc>
      </w:tr>
      <w:tr w:rsidR="00445F8C" w14:paraId="07331658" w14:textId="77777777" w:rsidTr="00743FF1">
        <w:trPr>
          <w:trHeight w:val="397"/>
          <w:jc w:val="center"/>
        </w:trPr>
        <w:tc>
          <w:tcPr>
            <w:tcW w:w="755" w:type="pct"/>
            <w:tcBorders>
              <w:top w:val="nil"/>
              <w:left w:val="nil"/>
              <w:bottom w:val="nil"/>
              <w:right w:val="nil"/>
            </w:tcBorders>
            <w:noWrap/>
            <w:vAlign w:val="center"/>
          </w:tcPr>
          <w:p w14:paraId="2F32A1D1"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10-WL</w:t>
            </w:r>
          </w:p>
        </w:tc>
        <w:tc>
          <w:tcPr>
            <w:tcW w:w="2004" w:type="pct"/>
            <w:tcBorders>
              <w:top w:val="nil"/>
              <w:left w:val="nil"/>
              <w:bottom w:val="nil"/>
              <w:right w:val="nil"/>
            </w:tcBorders>
            <w:noWrap/>
            <w:vAlign w:val="center"/>
          </w:tcPr>
          <w:p w14:paraId="447690B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139A8264"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p>
        </w:tc>
        <w:tc>
          <w:tcPr>
            <w:tcW w:w="1204" w:type="pct"/>
            <w:tcBorders>
              <w:top w:val="nil"/>
              <w:left w:val="nil"/>
              <w:bottom w:val="nil"/>
              <w:right w:val="nil"/>
            </w:tcBorders>
            <w:vAlign w:val="center"/>
          </w:tcPr>
          <w:p w14:paraId="2988FBDD"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13</w:t>
            </w:r>
          </w:p>
        </w:tc>
      </w:tr>
      <w:tr w:rsidR="00445F8C" w14:paraId="76B82295" w14:textId="77777777" w:rsidTr="004A3EA2">
        <w:trPr>
          <w:trHeight w:val="397"/>
          <w:jc w:val="center"/>
        </w:trPr>
        <w:tc>
          <w:tcPr>
            <w:tcW w:w="755" w:type="pct"/>
            <w:tcBorders>
              <w:top w:val="nil"/>
              <w:left w:val="nil"/>
              <w:bottom w:val="nil"/>
              <w:right w:val="nil"/>
            </w:tcBorders>
            <w:noWrap/>
            <w:vAlign w:val="center"/>
          </w:tcPr>
          <w:p w14:paraId="4DECE544"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11-SL</w:t>
            </w:r>
          </w:p>
        </w:tc>
        <w:tc>
          <w:tcPr>
            <w:tcW w:w="2004" w:type="pct"/>
            <w:tcBorders>
              <w:top w:val="nil"/>
              <w:left w:val="nil"/>
              <w:bottom w:val="nil"/>
              <w:right w:val="nil"/>
            </w:tcBorders>
            <w:noWrap/>
            <w:vAlign w:val="center"/>
          </w:tcPr>
          <w:p w14:paraId="14243D7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4D57D1C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p>
        </w:tc>
        <w:tc>
          <w:tcPr>
            <w:tcW w:w="1204" w:type="pct"/>
            <w:tcBorders>
              <w:top w:val="nil"/>
              <w:left w:val="nil"/>
              <w:bottom w:val="nil"/>
              <w:right w:val="nil"/>
            </w:tcBorders>
            <w:vAlign w:val="center"/>
          </w:tcPr>
          <w:p w14:paraId="3D18AD2B"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p>
        </w:tc>
      </w:tr>
      <w:tr w:rsidR="00445F8C" w14:paraId="302025CA" w14:textId="77777777" w:rsidTr="004A3EA2">
        <w:trPr>
          <w:trHeight w:val="397"/>
          <w:jc w:val="center"/>
        </w:trPr>
        <w:tc>
          <w:tcPr>
            <w:tcW w:w="755" w:type="pct"/>
            <w:tcBorders>
              <w:top w:val="nil"/>
              <w:left w:val="nil"/>
              <w:bottom w:val="nil"/>
              <w:right w:val="nil"/>
            </w:tcBorders>
            <w:noWrap/>
            <w:vAlign w:val="center"/>
          </w:tcPr>
          <w:p w14:paraId="1113B7C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12-BR</w:t>
            </w:r>
          </w:p>
        </w:tc>
        <w:tc>
          <w:tcPr>
            <w:tcW w:w="2004" w:type="pct"/>
            <w:tcBorders>
              <w:top w:val="nil"/>
              <w:left w:val="nil"/>
              <w:bottom w:val="nil"/>
              <w:right w:val="nil"/>
            </w:tcBorders>
            <w:noWrap/>
            <w:vAlign w:val="center"/>
          </w:tcPr>
          <w:p w14:paraId="3C7DF455"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47132CB5"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4</w:t>
            </w:r>
          </w:p>
        </w:tc>
        <w:tc>
          <w:tcPr>
            <w:tcW w:w="1204" w:type="pct"/>
            <w:tcBorders>
              <w:top w:val="nil"/>
              <w:left w:val="nil"/>
              <w:bottom w:val="nil"/>
              <w:right w:val="nil"/>
            </w:tcBorders>
            <w:vAlign w:val="center"/>
          </w:tcPr>
          <w:p w14:paraId="45A6EEB3"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3</w:t>
            </w:r>
          </w:p>
        </w:tc>
      </w:tr>
      <w:tr w:rsidR="00445F8C" w14:paraId="1D3255C1" w14:textId="77777777" w:rsidTr="004A3EA2">
        <w:trPr>
          <w:trHeight w:val="397"/>
          <w:jc w:val="center"/>
        </w:trPr>
        <w:tc>
          <w:tcPr>
            <w:tcW w:w="755" w:type="pct"/>
            <w:tcBorders>
              <w:top w:val="nil"/>
              <w:left w:val="nil"/>
              <w:bottom w:val="nil"/>
              <w:right w:val="nil"/>
            </w:tcBorders>
            <w:noWrap/>
            <w:vAlign w:val="center"/>
          </w:tcPr>
          <w:p w14:paraId="5C568B4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13-YC</w:t>
            </w:r>
          </w:p>
        </w:tc>
        <w:tc>
          <w:tcPr>
            <w:tcW w:w="2004" w:type="pct"/>
            <w:tcBorders>
              <w:top w:val="nil"/>
              <w:left w:val="nil"/>
              <w:bottom w:val="nil"/>
              <w:right w:val="nil"/>
            </w:tcBorders>
            <w:noWrap/>
            <w:vAlign w:val="center"/>
          </w:tcPr>
          <w:p w14:paraId="7F29F4E9"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燃油锅炉改造为生物质半气化炉</w:t>
            </w:r>
          </w:p>
        </w:tc>
        <w:tc>
          <w:tcPr>
            <w:tcW w:w="1037" w:type="pct"/>
            <w:tcBorders>
              <w:top w:val="nil"/>
              <w:left w:val="nil"/>
              <w:bottom w:val="nil"/>
              <w:right w:val="nil"/>
            </w:tcBorders>
            <w:vAlign w:val="center"/>
          </w:tcPr>
          <w:p w14:paraId="07A591D9"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p>
        </w:tc>
        <w:tc>
          <w:tcPr>
            <w:tcW w:w="1204" w:type="pct"/>
            <w:tcBorders>
              <w:top w:val="nil"/>
              <w:left w:val="nil"/>
              <w:bottom w:val="nil"/>
              <w:right w:val="nil"/>
            </w:tcBorders>
            <w:vAlign w:val="center"/>
          </w:tcPr>
          <w:p w14:paraId="75D8E767"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r w:rsidRPr="000E6DB7">
              <w:rPr>
                <w:rFonts w:eastAsia="仿宋"/>
                <w:sz w:val="24"/>
                <w:lang w:bidi="ar"/>
              </w:rPr>
              <w:t>.</w:t>
            </w:r>
            <w:r w:rsidRPr="000E6DB7">
              <w:rPr>
                <w:sz w:val="24"/>
                <w:lang w:bidi="ar"/>
              </w:rPr>
              <w:t>5</w:t>
            </w:r>
          </w:p>
        </w:tc>
      </w:tr>
      <w:tr w:rsidR="00445F8C" w14:paraId="01E35007" w14:textId="77777777" w:rsidTr="004A3EA2">
        <w:trPr>
          <w:trHeight w:val="397"/>
          <w:jc w:val="center"/>
        </w:trPr>
        <w:tc>
          <w:tcPr>
            <w:tcW w:w="755" w:type="pct"/>
            <w:tcBorders>
              <w:top w:val="nil"/>
              <w:left w:val="nil"/>
              <w:bottom w:val="nil"/>
              <w:right w:val="nil"/>
            </w:tcBorders>
            <w:noWrap/>
            <w:vAlign w:val="center"/>
          </w:tcPr>
          <w:p w14:paraId="2F107FF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14-XL</w:t>
            </w:r>
          </w:p>
        </w:tc>
        <w:tc>
          <w:tcPr>
            <w:tcW w:w="2004" w:type="pct"/>
            <w:tcBorders>
              <w:top w:val="nil"/>
              <w:left w:val="nil"/>
              <w:bottom w:val="nil"/>
              <w:right w:val="nil"/>
            </w:tcBorders>
            <w:noWrap/>
            <w:vAlign w:val="center"/>
          </w:tcPr>
          <w:p w14:paraId="270AF390"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6A2EAF4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15</w:t>
            </w:r>
          </w:p>
        </w:tc>
        <w:tc>
          <w:tcPr>
            <w:tcW w:w="1204" w:type="pct"/>
            <w:tcBorders>
              <w:top w:val="nil"/>
              <w:left w:val="nil"/>
              <w:bottom w:val="nil"/>
              <w:right w:val="nil"/>
            </w:tcBorders>
            <w:vAlign w:val="center"/>
          </w:tcPr>
          <w:p w14:paraId="1C0834E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12</w:t>
            </w:r>
          </w:p>
        </w:tc>
      </w:tr>
      <w:tr w:rsidR="00445F8C" w14:paraId="1E0F5DCC" w14:textId="77777777" w:rsidTr="004A3EA2">
        <w:trPr>
          <w:trHeight w:val="397"/>
          <w:jc w:val="center"/>
        </w:trPr>
        <w:tc>
          <w:tcPr>
            <w:tcW w:w="755" w:type="pct"/>
            <w:tcBorders>
              <w:top w:val="nil"/>
              <w:left w:val="nil"/>
              <w:bottom w:val="nil"/>
              <w:right w:val="nil"/>
            </w:tcBorders>
            <w:noWrap/>
            <w:vAlign w:val="center"/>
          </w:tcPr>
          <w:p w14:paraId="0881CD8D"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15-ZJ</w:t>
            </w:r>
          </w:p>
        </w:tc>
        <w:tc>
          <w:tcPr>
            <w:tcW w:w="2004" w:type="pct"/>
            <w:tcBorders>
              <w:top w:val="nil"/>
              <w:left w:val="nil"/>
              <w:bottom w:val="nil"/>
              <w:right w:val="nil"/>
            </w:tcBorders>
            <w:noWrap/>
            <w:vAlign w:val="center"/>
          </w:tcPr>
          <w:p w14:paraId="76B745C1"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6FFC0266"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10</w:t>
            </w:r>
          </w:p>
        </w:tc>
        <w:tc>
          <w:tcPr>
            <w:tcW w:w="1204" w:type="pct"/>
            <w:tcBorders>
              <w:top w:val="nil"/>
              <w:left w:val="nil"/>
              <w:bottom w:val="nil"/>
              <w:right w:val="nil"/>
            </w:tcBorders>
            <w:vAlign w:val="center"/>
          </w:tcPr>
          <w:p w14:paraId="31F4F95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72</w:t>
            </w:r>
          </w:p>
        </w:tc>
      </w:tr>
      <w:tr w:rsidR="00445F8C" w14:paraId="3A632836" w14:textId="77777777" w:rsidTr="004A3EA2">
        <w:trPr>
          <w:trHeight w:val="397"/>
          <w:jc w:val="center"/>
        </w:trPr>
        <w:tc>
          <w:tcPr>
            <w:tcW w:w="755" w:type="pct"/>
            <w:tcBorders>
              <w:top w:val="nil"/>
              <w:left w:val="nil"/>
              <w:bottom w:val="nil"/>
              <w:right w:val="nil"/>
            </w:tcBorders>
            <w:noWrap/>
            <w:vAlign w:val="center"/>
          </w:tcPr>
          <w:p w14:paraId="4E8E1BFF"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16-BT</w:t>
            </w:r>
          </w:p>
        </w:tc>
        <w:tc>
          <w:tcPr>
            <w:tcW w:w="2004" w:type="pct"/>
            <w:tcBorders>
              <w:top w:val="nil"/>
              <w:left w:val="nil"/>
              <w:bottom w:val="nil"/>
              <w:right w:val="nil"/>
            </w:tcBorders>
            <w:noWrap/>
            <w:vAlign w:val="center"/>
          </w:tcPr>
          <w:p w14:paraId="3CD4EB04"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生物质成型燃料锅炉</w:t>
            </w:r>
          </w:p>
        </w:tc>
        <w:tc>
          <w:tcPr>
            <w:tcW w:w="1037" w:type="pct"/>
            <w:tcBorders>
              <w:top w:val="nil"/>
              <w:left w:val="nil"/>
              <w:bottom w:val="nil"/>
              <w:right w:val="nil"/>
            </w:tcBorders>
            <w:vAlign w:val="center"/>
          </w:tcPr>
          <w:p w14:paraId="4F48C913"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15</w:t>
            </w:r>
          </w:p>
        </w:tc>
        <w:tc>
          <w:tcPr>
            <w:tcW w:w="1204" w:type="pct"/>
            <w:tcBorders>
              <w:top w:val="nil"/>
              <w:left w:val="nil"/>
              <w:bottom w:val="nil"/>
              <w:right w:val="nil"/>
            </w:tcBorders>
            <w:vAlign w:val="center"/>
          </w:tcPr>
          <w:p w14:paraId="3656C8D3"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72</w:t>
            </w:r>
          </w:p>
        </w:tc>
      </w:tr>
      <w:tr w:rsidR="00445F8C" w14:paraId="6BC95CF6" w14:textId="77777777" w:rsidTr="004A3EA2">
        <w:trPr>
          <w:trHeight w:val="397"/>
          <w:jc w:val="center"/>
        </w:trPr>
        <w:tc>
          <w:tcPr>
            <w:tcW w:w="755" w:type="pct"/>
            <w:tcBorders>
              <w:top w:val="nil"/>
              <w:left w:val="nil"/>
              <w:bottom w:val="nil"/>
              <w:right w:val="nil"/>
            </w:tcBorders>
            <w:noWrap/>
            <w:vAlign w:val="center"/>
          </w:tcPr>
          <w:p w14:paraId="090A6621"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17-HDB</w:t>
            </w:r>
          </w:p>
        </w:tc>
        <w:tc>
          <w:tcPr>
            <w:tcW w:w="2004" w:type="pct"/>
            <w:tcBorders>
              <w:top w:val="nil"/>
              <w:left w:val="nil"/>
              <w:bottom w:val="nil"/>
              <w:right w:val="nil"/>
            </w:tcBorders>
            <w:noWrap/>
            <w:vAlign w:val="center"/>
          </w:tcPr>
          <w:p w14:paraId="6EFCB08A"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链条炉改造的生物质锅炉</w:t>
            </w:r>
          </w:p>
        </w:tc>
        <w:tc>
          <w:tcPr>
            <w:tcW w:w="1037" w:type="pct"/>
            <w:tcBorders>
              <w:top w:val="nil"/>
              <w:left w:val="nil"/>
              <w:bottom w:val="nil"/>
              <w:right w:val="nil"/>
            </w:tcBorders>
            <w:vAlign w:val="center"/>
          </w:tcPr>
          <w:p w14:paraId="6F0D92F2"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6</w:t>
            </w:r>
          </w:p>
        </w:tc>
        <w:tc>
          <w:tcPr>
            <w:tcW w:w="1204" w:type="pct"/>
            <w:tcBorders>
              <w:top w:val="nil"/>
              <w:left w:val="nil"/>
              <w:bottom w:val="nil"/>
              <w:right w:val="nil"/>
            </w:tcBorders>
            <w:vAlign w:val="center"/>
          </w:tcPr>
          <w:p w14:paraId="76CB2EA5"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14</w:t>
            </w:r>
            <w:r w:rsidRPr="000E6DB7">
              <w:rPr>
                <w:rFonts w:eastAsia="仿宋"/>
                <w:sz w:val="24"/>
                <w:lang w:bidi="ar"/>
              </w:rPr>
              <w:t>.</w:t>
            </w:r>
            <w:r w:rsidRPr="000E6DB7">
              <w:rPr>
                <w:sz w:val="24"/>
                <w:lang w:bidi="ar"/>
              </w:rPr>
              <w:t>4</w:t>
            </w:r>
          </w:p>
        </w:tc>
      </w:tr>
      <w:tr w:rsidR="00445F8C" w14:paraId="570432C8" w14:textId="77777777" w:rsidTr="004A3EA2">
        <w:trPr>
          <w:trHeight w:val="397"/>
          <w:jc w:val="center"/>
        </w:trPr>
        <w:tc>
          <w:tcPr>
            <w:tcW w:w="755" w:type="pct"/>
            <w:tcBorders>
              <w:top w:val="nil"/>
              <w:left w:val="nil"/>
              <w:bottom w:val="nil"/>
              <w:right w:val="nil"/>
            </w:tcBorders>
            <w:noWrap/>
            <w:vAlign w:val="center"/>
          </w:tcPr>
          <w:p w14:paraId="27002E4C"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18-FG</w:t>
            </w:r>
          </w:p>
        </w:tc>
        <w:tc>
          <w:tcPr>
            <w:tcW w:w="2004" w:type="pct"/>
            <w:tcBorders>
              <w:top w:val="nil"/>
              <w:left w:val="nil"/>
              <w:bottom w:val="nil"/>
              <w:right w:val="nil"/>
            </w:tcBorders>
            <w:noWrap/>
            <w:vAlign w:val="center"/>
          </w:tcPr>
          <w:p w14:paraId="4CFCE6DC"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生物质气化炉</w:t>
            </w:r>
          </w:p>
        </w:tc>
        <w:tc>
          <w:tcPr>
            <w:tcW w:w="1037" w:type="pct"/>
            <w:tcBorders>
              <w:top w:val="nil"/>
              <w:left w:val="nil"/>
              <w:bottom w:val="nil"/>
              <w:right w:val="nil"/>
            </w:tcBorders>
            <w:vAlign w:val="center"/>
          </w:tcPr>
          <w:p w14:paraId="1D316A2E"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8</w:t>
            </w:r>
          </w:p>
        </w:tc>
        <w:tc>
          <w:tcPr>
            <w:tcW w:w="1204" w:type="pct"/>
            <w:tcBorders>
              <w:top w:val="nil"/>
              <w:left w:val="nil"/>
              <w:bottom w:val="nil"/>
              <w:right w:val="nil"/>
            </w:tcBorders>
            <w:vAlign w:val="center"/>
          </w:tcPr>
          <w:p w14:paraId="0BC31B8A"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48</w:t>
            </w:r>
          </w:p>
        </w:tc>
      </w:tr>
      <w:tr w:rsidR="00445F8C" w14:paraId="598D19B6" w14:textId="77777777" w:rsidTr="004A3EA2">
        <w:trPr>
          <w:trHeight w:val="397"/>
          <w:jc w:val="center"/>
        </w:trPr>
        <w:tc>
          <w:tcPr>
            <w:tcW w:w="755" w:type="pct"/>
            <w:tcBorders>
              <w:top w:val="nil"/>
              <w:left w:val="nil"/>
              <w:bottom w:val="nil"/>
              <w:right w:val="nil"/>
            </w:tcBorders>
            <w:noWrap/>
            <w:vAlign w:val="center"/>
          </w:tcPr>
          <w:p w14:paraId="571CFE98"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19-HY</w:t>
            </w:r>
          </w:p>
        </w:tc>
        <w:tc>
          <w:tcPr>
            <w:tcW w:w="2004" w:type="pct"/>
            <w:tcBorders>
              <w:top w:val="nil"/>
              <w:left w:val="nil"/>
              <w:bottom w:val="nil"/>
              <w:right w:val="nil"/>
            </w:tcBorders>
            <w:noWrap/>
            <w:vAlign w:val="center"/>
          </w:tcPr>
          <w:p w14:paraId="0E5FE231"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生物质气化炉</w:t>
            </w:r>
          </w:p>
        </w:tc>
        <w:tc>
          <w:tcPr>
            <w:tcW w:w="1037" w:type="pct"/>
            <w:tcBorders>
              <w:top w:val="nil"/>
              <w:left w:val="nil"/>
              <w:bottom w:val="nil"/>
              <w:right w:val="nil"/>
            </w:tcBorders>
            <w:vAlign w:val="center"/>
          </w:tcPr>
          <w:p w14:paraId="0F752488"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10</w:t>
            </w:r>
          </w:p>
        </w:tc>
        <w:tc>
          <w:tcPr>
            <w:tcW w:w="1204" w:type="pct"/>
            <w:tcBorders>
              <w:top w:val="nil"/>
              <w:left w:val="nil"/>
              <w:bottom w:val="nil"/>
              <w:right w:val="nil"/>
            </w:tcBorders>
            <w:vAlign w:val="center"/>
          </w:tcPr>
          <w:p w14:paraId="1C0727C3" w14:textId="77777777" w:rsidR="00445F8C" w:rsidRPr="000E6DB7" w:rsidRDefault="00084192" w:rsidP="00323207">
            <w:pPr>
              <w:spacing w:line="360" w:lineRule="exact"/>
              <w:ind w:firstLineChars="0" w:firstLine="0"/>
              <w:jc w:val="center"/>
              <w:textAlignment w:val="center"/>
              <w:rPr>
                <w:sz w:val="24"/>
              </w:rPr>
            </w:pPr>
            <w:r w:rsidRPr="000E6DB7">
              <w:rPr>
                <w:sz w:val="24"/>
                <w:lang w:bidi="ar"/>
              </w:rPr>
              <w:t>76</w:t>
            </w:r>
          </w:p>
        </w:tc>
      </w:tr>
      <w:tr w:rsidR="00445F8C" w14:paraId="58F063FF" w14:textId="77777777" w:rsidTr="004A3EA2">
        <w:trPr>
          <w:trHeight w:val="397"/>
          <w:jc w:val="center"/>
        </w:trPr>
        <w:tc>
          <w:tcPr>
            <w:tcW w:w="755" w:type="pct"/>
            <w:tcBorders>
              <w:top w:val="nil"/>
              <w:left w:val="nil"/>
              <w:bottom w:val="nil"/>
              <w:right w:val="nil"/>
            </w:tcBorders>
            <w:noWrap/>
            <w:vAlign w:val="center"/>
          </w:tcPr>
          <w:p w14:paraId="15204BF6"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20-DY</w:t>
            </w:r>
          </w:p>
        </w:tc>
        <w:tc>
          <w:tcPr>
            <w:tcW w:w="2004" w:type="pct"/>
            <w:tcBorders>
              <w:top w:val="nil"/>
              <w:left w:val="nil"/>
              <w:bottom w:val="nil"/>
              <w:right w:val="nil"/>
            </w:tcBorders>
            <w:noWrap/>
            <w:vAlign w:val="center"/>
          </w:tcPr>
          <w:p w14:paraId="130EE4FA"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生物质成型燃料锅炉</w:t>
            </w:r>
          </w:p>
        </w:tc>
        <w:tc>
          <w:tcPr>
            <w:tcW w:w="1037" w:type="pct"/>
            <w:tcBorders>
              <w:top w:val="nil"/>
              <w:left w:val="nil"/>
              <w:bottom w:val="nil"/>
              <w:right w:val="nil"/>
            </w:tcBorders>
            <w:vAlign w:val="center"/>
          </w:tcPr>
          <w:p w14:paraId="3D72FEAC"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75</w:t>
            </w:r>
          </w:p>
        </w:tc>
        <w:tc>
          <w:tcPr>
            <w:tcW w:w="1204" w:type="pct"/>
            <w:tcBorders>
              <w:top w:val="nil"/>
              <w:left w:val="nil"/>
              <w:bottom w:val="nil"/>
              <w:right w:val="nil"/>
            </w:tcBorders>
            <w:vAlign w:val="center"/>
          </w:tcPr>
          <w:p w14:paraId="7FA0DAA2"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1295</w:t>
            </w:r>
          </w:p>
        </w:tc>
      </w:tr>
      <w:tr w:rsidR="00445F8C" w14:paraId="37688CFF" w14:textId="77777777" w:rsidTr="004A3EA2">
        <w:trPr>
          <w:trHeight w:val="397"/>
          <w:jc w:val="center"/>
        </w:trPr>
        <w:tc>
          <w:tcPr>
            <w:tcW w:w="755" w:type="pct"/>
            <w:tcBorders>
              <w:top w:val="nil"/>
              <w:left w:val="nil"/>
              <w:bottom w:val="single" w:sz="12" w:space="0" w:color="auto"/>
              <w:right w:val="nil"/>
            </w:tcBorders>
            <w:noWrap/>
            <w:vAlign w:val="center"/>
          </w:tcPr>
          <w:p w14:paraId="19392440"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21-GM</w:t>
            </w:r>
          </w:p>
        </w:tc>
        <w:tc>
          <w:tcPr>
            <w:tcW w:w="2004" w:type="pct"/>
            <w:tcBorders>
              <w:top w:val="nil"/>
              <w:left w:val="nil"/>
              <w:bottom w:val="single" w:sz="12" w:space="0" w:color="auto"/>
              <w:right w:val="nil"/>
            </w:tcBorders>
            <w:noWrap/>
            <w:vAlign w:val="center"/>
          </w:tcPr>
          <w:p w14:paraId="40307355"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生物质成型燃料锅炉</w:t>
            </w:r>
          </w:p>
        </w:tc>
        <w:tc>
          <w:tcPr>
            <w:tcW w:w="1037" w:type="pct"/>
            <w:tcBorders>
              <w:top w:val="nil"/>
              <w:left w:val="nil"/>
              <w:bottom w:val="single" w:sz="12" w:space="0" w:color="auto"/>
              <w:right w:val="nil"/>
            </w:tcBorders>
            <w:vAlign w:val="center"/>
          </w:tcPr>
          <w:p w14:paraId="1DC553AE"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180</w:t>
            </w:r>
          </w:p>
        </w:tc>
        <w:tc>
          <w:tcPr>
            <w:tcW w:w="1204" w:type="pct"/>
            <w:tcBorders>
              <w:top w:val="nil"/>
              <w:left w:val="nil"/>
              <w:bottom w:val="single" w:sz="12" w:space="0" w:color="auto"/>
              <w:right w:val="nil"/>
            </w:tcBorders>
            <w:vAlign w:val="center"/>
          </w:tcPr>
          <w:p w14:paraId="3627FED9" w14:textId="77777777" w:rsidR="00445F8C" w:rsidRPr="000E6DB7" w:rsidRDefault="00084192" w:rsidP="00323207">
            <w:pPr>
              <w:spacing w:line="360" w:lineRule="exact"/>
              <w:ind w:firstLineChars="0" w:firstLine="0"/>
              <w:jc w:val="center"/>
              <w:textAlignment w:val="center"/>
              <w:rPr>
                <w:sz w:val="24"/>
                <w:lang w:bidi="ar"/>
              </w:rPr>
            </w:pPr>
            <w:r w:rsidRPr="000E6DB7">
              <w:rPr>
                <w:sz w:val="24"/>
                <w:lang w:bidi="ar"/>
              </w:rPr>
              <w:t>1600</w:t>
            </w:r>
          </w:p>
        </w:tc>
      </w:tr>
    </w:tbl>
    <w:p w14:paraId="6CD5B298" w14:textId="1F546C6A" w:rsidR="00E228B0" w:rsidRDefault="00073888" w:rsidP="00B579AB">
      <w:pPr>
        <w:autoSpaceDE w:val="0"/>
        <w:autoSpaceDN w:val="0"/>
        <w:adjustRightInd w:val="0"/>
        <w:spacing w:line="560" w:lineRule="exact"/>
        <w:ind w:firstLine="640"/>
        <w:rPr>
          <w:szCs w:val="28"/>
        </w:rPr>
      </w:pPr>
      <w:r w:rsidRPr="00073888">
        <w:rPr>
          <w:szCs w:val="28"/>
        </w:rPr>
        <w:t>就生物质锅炉工艺而言，</w:t>
      </w:r>
      <w:r w:rsidR="00E228B0" w:rsidRPr="00E228B0">
        <w:rPr>
          <w:szCs w:val="28"/>
        </w:rPr>
        <w:t>与仅包含燃烧与换热单元、未系统配置燃料预处理和烟气处理环节的小容量锅炉装置相比</w:t>
      </w:r>
      <w:r w:rsidR="00E228B0">
        <w:rPr>
          <w:rFonts w:hint="eastAsia"/>
          <w:szCs w:val="28"/>
        </w:rPr>
        <w:t>，不小于</w:t>
      </w:r>
      <w:r>
        <w:rPr>
          <w:rFonts w:hint="eastAsia"/>
          <w:szCs w:val="28"/>
        </w:rPr>
        <w:t>10</w:t>
      </w:r>
      <w:r>
        <w:rPr>
          <w:rFonts w:hint="eastAsia"/>
          <w:szCs w:val="28"/>
        </w:rPr>
        <w:t>蒸吨</w:t>
      </w:r>
      <w:r>
        <w:rPr>
          <w:rFonts w:hint="eastAsia"/>
          <w:szCs w:val="28"/>
        </w:rPr>
        <w:t>/</w:t>
      </w:r>
      <w:r>
        <w:rPr>
          <w:rFonts w:hint="eastAsia"/>
          <w:szCs w:val="28"/>
        </w:rPr>
        <w:t>小时的锅炉，</w:t>
      </w:r>
      <w:r w:rsidR="00E228B0" w:rsidRPr="00E228B0">
        <w:rPr>
          <w:szCs w:val="28"/>
        </w:rPr>
        <w:t>其系统配置相对完整，工程过程一般包括</w:t>
      </w:r>
      <w:r w:rsidR="00E228B0" w:rsidRPr="00E228B0">
        <w:rPr>
          <w:szCs w:val="28"/>
        </w:rPr>
        <w:t>“</w:t>
      </w:r>
      <w:r w:rsidR="00E228B0" w:rsidRPr="00E228B0">
        <w:rPr>
          <w:szCs w:val="28"/>
        </w:rPr>
        <w:t>燃料侧预处理与供给</w:t>
      </w:r>
      <w:r w:rsidR="00E228B0" w:rsidRPr="00E228B0">
        <w:rPr>
          <w:szCs w:val="28"/>
        </w:rPr>
        <w:t>—</w:t>
      </w:r>
      <w:r w:rsidR="00E228B0" w:rsidRPr="00E228B0">
        <w:rPr>
          <w:szCs w:val="28"/>
        </w:rPr>
        <w:t>炉内燃烧与换热</w:t>
      </w:r>
      <w:r w:rsidR="00E228B0" w:rsidRPr="00E228B0">
        <w:rPr>
          <w:szCs w:val="28"/>
        </w:rPr>
        <w:t>—</w:t>
      </w:r>
      <w:r w:rsidR="00E228B0" w:rsidRPr="00E228B0">
        <w:rPr>
          <w:szCs w:val="28"/>
        </w:rPr>
        <w:t>烟气净化与灰渣处置</w:t>
      </w:r>
      <w:r w:rsidR="00E228B0" w:rsidRPr="00E228B0">
        <w:rPr>
          <w:szCs w:val="28"/>
        </w:rPr>
        <w:t>—</w:t>
      </w:r>
      <w:r w:rsidR="00E228B0" w:rsidRPr="00E228B0">
        <w:rPr>
          <w:szCs w:val="28"/>
        </w:rPr>
        <w:t>运行控制与监测</w:t>
      </w:r>
      <w:r w:rsidR="00E228B0" w:rsidRPr="00E228B0">
        <w:rPr>
          <w:szCs w:val="28"/>
        </w:rPr>
        <w:t>”</w:t>
      </w:r>
      <w:r w:rsidR="00E228B0" w:rsidRPr="00E228B0">
        <w:rPr>
          <w:szCs w:val="28"/>
        </w:rPr>
        <w:t>等环节，</w:t>
      </w:r>
      <w:r w:rsidR="00E723AE">
        <w:rPr>
          <w:rFonts w:hint="eastAsia"/>
          <w:szCs w:val="28"/>
        </w:rPr>
        <w:t>典型工艺如图</w:t>
      </w:r>
      <w:r w:rsidR="00E723AE">
        <w:rPr>
          <w:rFonts w:hint="eastAsia"/>
          <w:szCs w:val="28"/>
        </w:rPr>
        <w:t>7</w:t>
      </w:r>
      <w:r w:rsidR="00E723AE">
        <w:rPr>
          <w:rFonts w:hint="eastAsia"/>
          <w:szCs w:val="28"/>
        </w:rPr>
        <w:t>所示，</w:t>
      </w:r>
      <w:r w:rsidR="00E228B0" w:rsidRPr="00E228B0">
        <w:rPr>
          <w:szCs w:val="28"/>
        </w:rPr>
        <w:t>具体工艺路线主要受炉型、燃料物性及排放控制要求影响。燃料侧通常设置燃料接收与计量、储存、破碎筛分与除杂、均质及输送给料等单元，用于控制燃料粒度、含水率及杂质波动，保证给料过程连续稳定，从而维持炉内运行工况的稳定性。燃烧与</w:t>
      </w:r>
      <w:proofErr w:type="gramStart"/>
      <w:r w:rsidR="00E228B0" w:rsidRPr="00E228B0">
        <w:rPr>
          <w:szCs w:val="28"/>
        </w:rPr>
        <w:t>换热侧以直接</w:t>
      </w:r>
      <w:proofErr w:type="gramEnd"/>
      <w:r w:rsidR="00E228B0" w:rsidRPr="00E228B0">
        <w:rPr>
          <w:szCs w:val="28"/>
        </w:rPr>
        <w:t>燃烧锅炉为主，常见炉型包括炉排锅炉和流化床锅炉，不同炉型在燃料适</w:t>
      </w:r>
      <w:r w:rsidR="00E228B0" w:rsidRPr="00E228B0">
        <w:rPr>
          <w:szCs w:val="28"/>
        </w:rPr>
        <w:lastRenderedPageBreak/>
        <w:t>应性、燃尽方式和负荷调节特性方面存在差异，对过量空气系数、炉膛温度分布及未燃尽损失等运行指标产生影响</w:t>
      </w:r>
      <w:r w:rsidR="00E228B0">
        <w:rPr>
          <w:rFonts w:hint="eastAsia"/>
          <w:szCs w:val="28"/>
        </w:rPr>
        <w:t>。在烟囱处</w:t>
      </w:r>
      <w:r w:rsidR="00E228B0" w:rsidRPr="00E228B0">
        <w:rPr>
          <w:szCs w:val="28"/>
        </w:rPr>
        <w:t>配备烟气在线监测装置，对主要污染物和运行参数实施连续监测。</w:t>
      </w:r>
    </w:p>
    <w:p w14:paraId="65C374D3" w14:textId="15669894" w:rsidR="00E723AE" w:rsidRPr="00365248" w:rsidRDefault="00E723AE" w:rsidP="00E723AE">
      <w:pPr>
        <w:spacing w:line="360" w:lineRule="auto"/>
        <w:ind w:firstLineChars="0" w:firstLine="0"/>
        <w:jc w:val="center"/>
        <w:rPr>
          <w:rFonts w:eastAsia="宋体"/>
          <w:sz w:val="21"/>
        </w:rPr>
      </w:pPr>
      <w:r>
        <w:rPr>
          <w:noProof/>
        </w:rPr>
        <w:drawing>
          <wp:inline distT="0" distB="0" distL="0" distR="0" wp14:anchorId="707653B2" wp14:editId="339628F1">
            <wp:extent cx="4987636" cy="1956958"/>
            <wp:effectExtent l="0" t="0" r="3810" b="5715"/>
            <wp:docPr id="1506886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86152" name=""/>
                    <pic:cNvPicPr/>
                  </pic:nvPicPr>
                  <pic:blipFill rotWithShape="1">
                    <a:blip r:embed="rId14"/>
                    <a:srcRect l="1" r="971" b="1370"/>
                    <a:stretch>
                      <a:fillRect/>
                    </a:stretch>
                  </pic:blipFill>
                  <pic:spPr bwMode="auto">
                    <a:xfrm>
                      <a:off x="0" y="0"/>
                      <a:ext cx="4999702" cy="1961692"/>
                    </a:xfrm>
                    <a:prstGeom prst="rect">
                      <a:avLst/>
                    </a:prstGeom>
                    <a:ln>
                      <a:noFill/>
                    </a:ln>
                    <a:extLst>
                      <a:ext uri="{53640926-AAD7-44D8-BBD7-CCE9431645EC}">
                        <a14:shadowObscured xmlns:a14="http://schemas.microsoft.com/office/drawing/2010/main"/>
                      </a:ext>
                    </a:extLst>
                  </pic:spPr>
                </pic:pic>
              </a:graphicData>
            </a:graphic>
          </wp:inline>
        </w:drawing>
      </w:r>
    </w:p>
    <w:p w14:paraId="1665AFAD" w14:textId="49A65063" w:rsidR="00E723AE" w:rsidRPr="00743FF1" w:rsidRDefault="00E723AE" w:rsidP="00E723AE">
      <w:pPr>
        <w:spacing w:line="560" w:lineRule="exact"/>
        <w:ind w:firstLineChars="0" w:firstLine="0"/>
        <w:jc w:val="center"/>
        <w:rPr>
          <w:szCs w:val="40"/>
        </w:rPr>
      </w:pPr>
      <w:r w:rsidRPr="00743FF1">
        <w:rPr>
          <w:szCs w:val="40"/>
        </w:rPr>
        <w:t>图</w:t>
      </w:r>
      <w:r>
        <w:rPr>
          <w:rFonts w:hint="eastAsia"/>
          <w:szCs w:val="40"/>
        </w:rPr>
        <w:t xml:space="preserve">7 </w:t>
      </w:r>
      <w:r w:rsidRPr="00E723AE">
        <w:rPr>
          <w:szCs w:val="40"/>
        </w:rPr>
        <w:t>生物质锅炉典型工艺流程示意图</w:t>
      </w:r>
    </w:p>
    <w:p w14:paraId="170CE958" w14:textId="62A847C1" w:rsidR="00B579AB" w:rsidRDefault="00B579AB" w:rsidP="00B579AB">
      <w:pPr>
        <w:autoSpaceDE w:val="0"/>
        <w:autoSpaceDN w:val="0"/>
        <w:adjustRightInd w:val="0"/>
        <w:spacing w:line="560" w:lineRule="exact"/>
        <w:ind w:firstLine="640"/>
        <w:rPr>
          <w:szCs w:val="28"/>
        </w:rPr>
      </w:pPr>
      <w:r w:rsidRPr="00B579AB">
        <w:rPr>
          <w:szCs w:val="28"/>
        </w:rPr>
        <w:t>企业对污染物控制技术路线的选择，在很大程度上受锅炉燃烧过程初始排放特征以及国家和地方污染物排放限值要求的共同约束。根据《生物质锅炉技术规范》（</w:t>
      </w:r>
      <w:r w:rsidRPr="00B579AB">
        <w:rPr>
          <w:szCs w:val="28"/>
        </w:rPr>
        <w:t>GB/T 44906—2024</w:t>
      </w:r>
      <w:r w:rsidRPr="00B579AB">
        <w:rPr>
          <w:szCs w:val="28"/>
        </w:rPr>
        <w:t>），针对不同燃烧方式的生物质锅炉，规定了其在额定工况条件下颗粒物、二氧化硫和氮氧化物等污染物的初始排放浓度限值，为锅炉燃烧系统设计和污染物控制工艺配置提供了技术依据，相关限值见表</w:t>
      </w:r>
      <w:r w:rsidRPr="00B579AB">
        <w:rPr>
          <w:szCs w:val="28"/>
        </w:rPr>
        <w:t>2</w:t>
      </w:r>
      <w:r w:rsidRPr="00B579AB">
        <w:rPr>
          <w:szCs w:val="28"/>
        </w:rPr>
        <w:t>。</w:t>
      </w:r>
    </w:p>
    <w:p w14:paraId="0EF2DFF5" w14:textId="09BF9D94" w:rsidR="00B579AB" w:rsidRPr="00B579AB" w:rsidRDefault="00B579AB" w:rsidP="00B579AB">
      <w:pPr>
        <w:autoSpaceDE w:val="0"/>
        <w:autoSpaceDN w:val="0"/>
        <w:adjustRightInd w:val="0"/>
        <w:spacing w:line="560" w:lineRule="exact"/>
        <w:ind w:firstLineChars="0" w:firstLine="0"/>
        <w:jc w:val="center"/>
        <w:rPr>
          <w:szCs w:val="28"/>
        </w:rPr>
      </w:pPr>
      <w:r w:rsidRPr="00B579AB">
        <w:rPr>
          <w:szCs w:val="28"/>
        </w:rPr>
        <w:t>表</w:t>
      </w:r>
      <w:r>
        <w:rPr>
          <w:rFonts w:hint="eastAsia"/>
          <w:szCs w:val="28"/>
        </w:rPr>
        <w:t>2</w:t>
      </w:r>
      <w:r w:rsidRPr="00B579AB">
        <w:rPr>
          <w:szCs w:val="28"/>
        </w:rPr>
        <w:t xml:space="preserve"> </w:t>
      </w:r>
      <w:r>
        <w:rPr>
          <w:rFonts w:hint="eastAsia"/>
          <w:szCs w:val="28"/>
        </w:rPr>
        <w:t>锅炉额定工况下大气污染物初始排放浓度限值</w:t>
      </w:r>
    </w:p>
    <w:tbl>
      <w:tblPr>
        <w:tblStyle w:val="afd"/>
        <w:tblW w:w="0" w:type="auto"/>
        <w:tblLook w:val="04A0" w:firstRow="1" w:lastRow="0" w:firstColumn="1" w:lastColumn="0" w:noHBand="0" w:noVBand="1"/>
      </w:tblPr>
      <w:tblGrid>
        <w:gridCol w:w="2272"/>
        <w:gridCol w:w="2386"/>
        <w:gridCol w:w="2341"/>
        <w:gridCol w:w="2175"/>
      </w:tblGrid>
      <w:tr w:rsidR="00CB7E96" w14:paraId="795174D6" w14:textId="009F6A85" w:rsidTr="00CB7E96">
        <w:tc>
          <w:tcPr>
            <w:tcW w:w="2272" w:type="dxa"/>
            <w:vMerge w:val="restart"/>
            <w:tcBorders>
              <w:top w:val="single" w:sz="12" w:space="0" w:color="auto"/>
              <w:left w:val="nil"/>
              <w:bottom w:val="single" w:sz="8" w:space="0" w:color="auto"/>
              <w:right w:val="nil"/>
            </w:tcBorders>
            <w:vAlign w:val="center"/>
          </w:tcPr>
          <w:p w14:paraId="047E5C31" w14:textId="517AF533" w:rsidR="00CB7E96" w:rsidRPr="00E65078" w:rsidRDefault="00CB7E96" w:rsidP="00CB7E96">
            <w:pPr>
              <w:autoSpaceDE w:val="0"/>
              <w:autoSpaceDN w:val="0"/>
              <w:adjustRightInd w:val="0"/>
              <w:spacing w:line="360" w:lineRule="exact"/>
              <w:ind w:firstLineChars="0" w:firstLine="0"/>
              <w:jc w:val="center"/>
              <w:rPr>
                <w:rFonts w:ascii="Times New Roman"/>
                <w:sz w:val="24"/>
                <w:szCs w:val="22"/>
              </w:rPr>
            </w:pPr>
            <w:r w:rsidRPr="00E65078">
              <w:rPr>
                <w:rFonts w:ascii="Times New Roman"/>
                <w:sz w:val="24"/>
                <w:szCs w:val="22"/>
              </w:rPr>
              <w:t>锅炉分类</w:t>
            </w:r>
          </w:p>
        </w:tc>
        <w:tc>
          <w:tcPr>
            <w:tcW w:w="6902" w:type="dxa"/>
            <w:gridSpan w:val="3"/>
            <w:tcBorders>
              <w:top w:val="single" w:sz="12" w:space="0" w:color="auto"/>
              <w:left w:val="nil"/>
              <w:bottom w:val="single" w:sz="8" w:space="0" w:color="auto"/>
              <w:right w:val="nil"/>
            </w:tcBorders>
          </w:tcPr>
          <w:p w14:paraId="7EC624EA" w14:textId="2A2B19D3" w:rsidR="00CB7E96" w:rsidRPr="00CB7E96" w:rsidRDefault="00CB7E96" w:rsidP="00CB7E96">
            <w:pPr>
              <w:autoSpaceDE w:val="0"/>
              <w:autoSpaceDN w:val="0"/>
              <w:adjustRightInd w:val="0"/>
              <w:spacing w:line="360" w:lineRule="exact"/>
              <w:ind w:firstLineChars="0" w:firstLine="0"/>
              <w:jc w:val="center"/>
              <w:rPr>
                <w:rFonts w:ascii="Times New Roman"/>
                <w:sz w:val="24"/>
                <w:szCs w:val="22"/>
              </w:rPr>
            </w:pPr>
            <w:r w:rsidRPr="00CB7E96">
              <w:rPr>
                <w:rFonts w:ascii="Times New Roman"/>
                <w:sz w:val="24"/>
                <w:szCs w:val="22"/>
              </w:rPr>
              <w:t>污染物初始排放浓度限值</w:t>
            </w:r>
            <w:r w:rsidRPr="00CB7E96">
              <w:rPr>
                <w:rFonts w:ascii="Times New Roman"/>
                <w:sz w:val="24"/>
                <w:szCs w:val="22"/>
                <w:vertAlign w:val="superscript"/>
              </w:rPr>
              <w:t>a</w:t>
            </w:r>
            <w:r w:rsidRPr="00CB7E96">
              <w:rPr>
                <w:rFonts w:ascii="Times New Roman"/>
                <w:sz w:val="24"/>
                <w:szCs w:val="22"/>
              </w:rPr>
              <w:t>/</w:t>
            </w:r>
            <w:r w:rsidRPr="00CB7E96">
              <w:rPr>
                <w:rFonts w:ascii="Times New Roman"/>
                <w:sz w:val="24"/>
                <w:szCs w:val="22"/>
              </w:rPr>
              <w:t>（</w:t>
            </w:r>
            <w:r w:rsidRPr="00CB7E96">
              <w:rPr>
                <w:rFonts w:ascii="Times New Roman"/>
                <w:sz w:val="24"/>
                <w:szCs w:val="22"/>
              </w:rPr>
              <w:t>mg/m</w:t>
            </w:r>
            <w:r w:rsidRPr="00CB7E96">
              <w:rPr>
                <w:rFonts w:ascii="Times New Roman"/>
                <w:sz w:val="24"/>
                <w:szCs w:val="22"/>
                <w:vertAlign w:val="superscript"/>
              </w:rPr>
              <w:t>3</w:t>
            </w:r>
            <w:r w:rsidRPr="00CB7E96">
              <w:rPr>
                <w:rFonts w:ascii="Times New Roman"/>
                <w:sz w:val="24"/>
                <w:szCs w:val="22"/>
              </w:rPr>
              <w:t>）</w:t>
            </w:r>
          </w:p>
        </w:tc>
      </w:tr>
      <w:tr w:rsidR="00CB7E96" w14:paraId="29AFFA08" w14:textId="1283127B" w:rsidTr="00CB7E96">
        <w:tc>
          <w:tcPr>
            <w:tcW w:w="2272" w:type="dxa"/>
            <w:vMerge/>
            <w:tcBorders>
              <w:top w:val="nil"/>
              <w:left w:val="nil"/>
              <w:bottom w:val="single" w:sz="8" w:space="0" w:color="auto"/>
              <w:right w:val="nil"/>
            </w:tcBorders>
          </w:tcPr>
          <w:p w14:paraId="44FC28FB" w14:textId="6524167D" w:rsidR="00CB7E96" w:rsidRPr="00E65078" w:rsidRDefault="00CB7E96" w:rsidP="00CB7E96">
            <w:pPr>
              <w:autoSpaceDE w:val="0"/>
              <w:autoSpaceDN w:val="0"/>
              <w:adjustRightInd w:val="0"/>
              <w:spacing w:line="360" w:lineRule="exact"/>
              <w:ind w:firstLineChars="0" w:firstLine="0"/>
              <w:rPr>
                <w:rFonts w:ascii="Times New Roman"/>
                <w:sz w:val="24"/>
                <w:szCs w:val="22"/>
              </w:rPr>
            </w:pPr>
          </w:p>
        </w:tc>
        <w:tc>
          <w:tcPr>
            <w:tcW w:w="2386" w:type="dxa"/>
            <w:tcBorders>
              <w:top w:val="single" w:sz="8" w:space="0" w:color="auto"/>
              <w:left w:val="nil"/>
              <w:bottom w:val="single" w:sz="8" w:space="0" w:color="auto"/>
              <w:right w:val="nil"/>
            </w:tcBorders>
            <w:vAlign w:val="center"/>
          </w:tcPr>
          <w:p w14:paraId="18BD0D1D" w14:textId="1EB48C8E" w:rsidR="00CB7E96" w:rsidRPr="00CB7E96" w:rsidRDefault="00CB7E96" w:rsidP="00B579AB">
            <w:pPr>
              <w:autoSpaceDE w:val="0"/>
              <w:autoSpaceDN w:val="0"/>
              <w:adjustRightInd w:val="0"/>
              <w:spacing w:line="360" w:lineRule="exact"/>
              <w:ind w:firstLineChars="0" w:firstLine="0"/>
              <w:jc w:val="center"/>
              <w:rPr>
                <w:rFonts w:ascii="Times New Roman"/>
                <w:szCs w:val="28"/>
              </w:rPr>
            </w:pPr>
            <w:r w:rsidRPr="00CB7E96">
              <w:rPr>
                <w:rFonts w:ascii="Times New Roman"/>
                <w:sz w:val="24"/>
                <w:szCs w:val="22"/>
              </w:rPr>
              <w:t>颗粒物</w:t>
            </w:r>
          </w:p>
        </w:tc>
        <w:tc>
          <w:tcPr>
            <w:tcW w:w="2341" w:type="dxa"/>
            <w:tcBorders>
              <w:top w:val="single" w:sz="8" w:space="0" w:color="auto"/>
              <w:left w:val="nil"/>
              <w:bottom w:val="single" w:sz="8" w:space="0" w:color="auto"/>
              <w:right w:val="nil"/>
            </w:tcBorders>
          </w:tcPr>
          <w:p w14:paraId="27ACC28A" w14:textId="500861B0" w:rsidR="00CB7E96" w:rsidRPr="00CB7E96" w:rsidRDefault="00CB7E96" w:rsidP="00B579AB">
            <w:pPr>
              <w:autoSpaceDE w:val="0"/>
              <w:autoSpaceDN w:val="0"/>
              <w:adjustRightInd w:val="0"/>
              <w:spacing w:line="360" w:lineRule="exact"/>
              <w:ind w:firstLineChars="0" w:firstLine="0"/>
              <w:jc w:val="center"/>
              <w:rPr>
                <w:rFonts w:ascii="Times New Roman"/>
                <w:sz w:val="24"/>
                <w:szCs w:val="22"/>
              </w:rPr>
            </w:pPr>
            <w:r w:rsidRPr="00CB7E96">
              <w:rPr>
                <w:rFonts w:ascii="Times New Roman"/>
                <w:sz w:val="24"/>
                <w:szCs w:val="22"/>
              </w:rPr>
              <w:t>二氧化硫</w:t>
            </w:r>
            <w:r w:rsidRPr="00CB7E96">
              <w:rPr>
                <w:rFonts w:ascii="Times New Roman"/>
                <w:sz w:val="24"/>
                <w:szCs w:val="22"/>
                <w:vertAlign w:val="superscript"/>
              </w:rPr>
              <w:t>b</w:t>
            </w:r>
            <w:r w:rsidRPr="00CB7E96">
              <w:rPr>
                <w:rFonts w:ascii="Times New Roman"/>
                <w:sz w:val="24"/>
                <w:szCs w:val="22"/>
              </w:rPr>
              <w:t xml:space="preserve"> SO</w:t>
            </w:r>
            <w:r w:rsidRPr="00CB7E96">
              <w:rPr>
                <w:rFonts w:ascii="Times New Roman"/>
                <w:sz w:val="24"/>
                <w:szCs w:val="22"/>
                <w:vertAlign w:val="subscript"/>
              </w:rPr>
              <w:t>2</w:t>
            </w:r>
          </w:p>
        </w:tc>
        <w:tc>
          <w:tcPr>
            <w:tcW w:w="2175" w:type="dxa"/>
            <w:tcBorders>
              <w:top w:val="single" w:sz="8" w:space="0" w:color="auto"/>
              <w:left w:val="nil"/>
              <w:bottom w:val="single" w:sz="8" w:space="0" w:color="auto"/>
              <w:right w:val="nil"/>
            </w:tcBorders>
          </w:tcPr>
          <w:p w14:paraId="4968C63C" w14:textId="644BEE78" w:rsidR="00CB7E96" w:rsidRPr="00CB7E96" w:rsidRDefault="00CB7E96" w:rsidP="00B579AB">
            <w:pPr>
              <w:autoSpaceDE w:val="0"/>
              <w:autoSpaceDN w:val="0"/>
              <w:adjustRightInd w:val="0"/>
              <w:spacing w:line="360" w:lineRule="exact"/>
              <w:ind w:firstLineChars="0" w:firstLine="0"/>
              <w:jc w:val="center"/>
              <w:rPr>
                <w:rFonts w:ascii="Times New Roman"/>
                <w:sz w:val="24"/>
                <w:szCs w:val="22"/>
              </w:rPr>
            </w:pPr>
            <w:r w:rsidRPr="00CB7E96">
              <w:rPr>
                <w:rFonts w:ascii="Times New Roman"/>
                <w:sz w:val="24"/>
                <w:szCs w:val="22"/>
              </w:rPr>
              <w:t>氮氧化物</w:t>
            </w:r>
            <w:r w:rsidRPr="00CB7E96">
              <w:rPr>
                <w:rFonts w:ascii="Times New Roman"/>
                <w:sz w:val="24"/>
                <w:szCs w:val="22"/>
                <w:vertAlign w:val="superscript"/>
              </w:rPr>
              <w:t>c</w:t>
            </w:r>
            <w:r w:rsidRPr="00CB7E96">
              <w:rPr>
                <w:rFonts w:ascii="Times New Roman"/>
                <w:sz w:val="24"/>
                <w:szCs w:val="22"/>
              </w:rPr>
              <w:t xml:space="preserve"> NO</w:t>
            </w:r>
            <w:r w:rsidRPr="00CB7E96">
              <w:rPr>
                <w:rFonts w:ascii="Times New Roman"/>
                <w:sz w:val="24"/>
                <w:szCs w:val="22"/>
                <w:vertAlign w:val="subscript"/>
              </w:rPr>
              <w:t>x</w:t>
            </w:r>
          </w:p>
        </w:tc>
      </w:tr>
      <w:tr w:rsidR="00CB7E96" w14:paraId="7AB18AC1" w14:textId="77777777" w:rsidTr="003E60FC">
        <w:tc>
          <w:tcPr>
            <w:tcW w:w="2272" w:type="dxa"/>
            <w:tcBorders>
              <w:top w:val="single" w:sz="8" w:space="0" w:color="auto"/>
              <w:left w:val="nil"/>
              <w:bottom w:val="nil"/>
              <w:right w:val="nil"/>
            </w:tcBorders>
            <w:vAlign w:val="center"/>
          </w:tcPr>
          <w:p w14:paraId="429BBCCF" w14:textId="1CCACD71" w:rsidR="00CB7E96" w:rsidRPr="00E65078" w:rsidRDefault="00CB7E96" w:rsidP="00B579AB">
            <w:pPr>
              <w:autoSpaceDE w:val="0"/>
              <w:autoSpaceDN w:val="0"/>
              <w:adjustRightInd w:val="0"/>
              <w:spacing w:line="360" w:lineRule="exact"/>
              <w:ind w:firstLineChars="0" w:firstLine="0"/>
              <w:jc w:val="center"/>
              <w:rPr>
                <w:rFonts w:ascii="Times New Roman"/>
                <w:sz w:val="24"/>
                <w:szCs w:val="22"/>
              </w:rPr>
            </w:pPr>
            <w:r w:rsidRPr="00E65078">
              <w:rPr>
                <w:rFonts w:ascii="Times New Roman"/>
                <w:sz w:val="24"/>
                <w:szCs w:val="22"/>
              </w:rPr>
              <w:t>层燃炉</w:t>
            </w:r>
          </w:p>
        </w:tc>
        <w:tc>
          <w:tcPr>
            <w:tcW w:w="2386" w:type="dxa"/>
            <w:tcBorders>
              <w:top w:val="single" w:sz="8" w:space="0" w:color="auto"/>
              <w:left w:val="nil"/>
              <w:bottom w:val="nil"/>
              <w:right w:val="nil"/>
            </w:tcBorders>
            <w:vAlign w:val="center"/>
          </w:tcPr>
          <w:p w14:paraId="6BA7281D" w14:textId="311A7C65" w:rsidR="00CB7E96" w:rsidRPr="00CB7E96" w:rsidRDefault="00CB7E96" w:rsidP="00B579AB">
            <w:pPr>
              <w:autoSpaceDE w:val="0"/>
              <w:autoSpaceDN w:val="0"/>
              <w:adjustRightInd w:val="0"/>
              <w:spacing w:line="360" w:lineRule="exact"/>
              <w:ind w:firstLineChars="0" w:firstLine="0"/>
              <w:jc w:val="center"/>
              <w:rPr>
                <w:rFonts w:ascii="Times New Roman"/>
                <w:szCs w:val="28"/>
              </w:rPr>
            </w:pPr>
            <w:r>
              <w:rPr>
                <w:rFonts w:ascii="Times New Roman" w:hint="eastAsia"/>
                <w:szCs w:val="28"/>
              </w:rPr>
              <w:t>-</w:t>
            </w:r>
            <w:r w:rsidR="00E65078" w:rsidRPr="00E65078">
              <w:rPr>
                <w:rFonts w:ascii="Times New Roman" w:hint="eastAsia"/>
                <w:szCs w:val="28"/>
                <w:vertAlign w:val="superscript"/>
              </w:rPr>
              <w:t>d</w:t>
            </w:r>
          </w:p>
        </w:tc>
        <w:tc>
          <w:tcPr>
            <w:tcW w:w="2341" w:type="dxa"/>
            <w:tcBorders>
              <w:top w:val="single" w:sz="8" w:space="0" w:color="auto"/>
              <w:left w:val="nil"/>
              <w:bottom w:val="nil"/>
              <w:right w:val="nil"/>
            </w:tcBorders>
            <w:vAlign w:val="center"/>
          </w:tcPr>
          <w:p w14:paraId="06BAD55A" w14:textId="68FA56A4" w:rsidR="00CB7E96" w:rsidRPr="00CB7E96" w:rsidRDefault="00CB7E96" w:rsidP="00B579AB">
            <w:pPr>
              <w:autoSpaceDE w:val="0"/>
              <w:autoSpaceDN w:val="0"/>
              <w:adjustRightInd w:val="0"/>
              <w:spacing w:line="360" w:lineRule="exact"/>
              <w:ind w:firstLineChars="0" w:firstLine="0"/>
              <w:jc w:val="center"/>
              <w:rPr>
                <w:rFonts w:ascii="Times New Roman"/>
                <w:sz w:val="24"/>
                <w:szCs w:val="22"/>
              </w:rPr>
            </w:pPr>
            <w:r>
              <w:rPr>
                <w:rFonts w:ascii="Times New Roman" w:hint="eastAsia"/>
                <w:sz w:val="24"/>
                <w:szCs w:val="22"/>
              </w:rPr>
              <w:t>300</w:t>
            </w:r>
          </w:p>
        </w:tc>
        <w:tc>
          <w:tcPr>
            <w:tcW w:w="2175" w:type="dxa"/>
            <w:tcBorders>
              <w:top w:val="single" w:sz="8" w:space="0" w:color="auto"/>
              <w:left w:val="nil"/>
              <w:bottom w:val="nil"/>
              <w:right w:val="nil"/>
            </w:tcBorders>
            <w:vAlign w:val="center"/>
          </w:tcPr>
          <w:p w14:paraId="48979810" w14:textId="3E19C4D8" w:rsidR="00CB7E96" w:rsidRPr="00CB7E96" w:rsidRDefault="00CB7E96" w:rsidP="00B579AB">
            <w:pPr>
              <w:autoSpaceDE w:val="0"/>
              <w:autoSpaceDN w:val="0"/>
              <w:adjustRightInd w:val="0"/>
              <w:spacing w:line="360" w:lineRule="exact"/>
              <w:ind w:firstLineChars="0" w:firstLine="0"/>
              <w:jc w:val="center"/>
              <w:rPr>
                <w:rFonts w:ascii="Times New Roman"/>
                <w:sz w:val="24"/>
                <w:szCs w:val="22"/>
              </w:rPr>
            </w:pPr>
            <w:r>
              <w:rPr>
                <w:rFonts w:ascii="Times New Roman" w:hint="eastAsia"/>
                <w:sz w:val="24"/>
                <w:szCs w:val="22"/>
              </w:rPr>
              <w:t>400</w:t>
            </w:r>
          </w:p>
        </w:tc>
      </w:tr>
      <w:tr w:rsidR="00CB7E96" w14:paraId="4ED7ECDE" w14:textId="5389C58F" w:rsidTr="003E60FC">
        <w:tc>
          <w:tcPr>
            <w:tcW w:w="2272" w:type="dxa"/>
            <w:tcBorders>
              <w:top w:val="nil"/>
              <w:left w:val="nil"/>
              <w:bottom w:val="single" w:sz="8" w:space="0" w:color="auto"/>
              <w:right w:val="nil"/>
            </w:tcBorders>
            <w:vAlign w:val="center"/>
          </w:tcPr>
          <w:p w14:paraId="148E230F" w14:textId="77777777" w:rsidR="00CB7E96" w:rsidRPr="00E65078" w:rsidRDefault="00CB7E96" w:rsidP="00B579AB">
            <w:pPr>
              <w:autoSpaceDE w:val="0"/>
              <w:autoSpaceDN w:val="0"/>
              <w:adjustRightInd w:val="0"/>
              <w:spacing w:line="360" w:lineRule="exact"/>
              <w:ind w:firstLineChars="0" w:firstLine="0"/>
              <w:jc w:val="center"/>
              <w:rPr>
                <w:rFonts w:ascii="Times New Roman"/>
                <w:sz w:val="24"/>
                <w:szCs w:val="22"/>
              </w:rPr>
            </w:pPr>
            <w:r w:rsidRPr="00E65078">
              <w:rPr>
                <w:rFonts w:ascii="Times New Roman"/>
                <w:sz w:val="24"/>
                <w:szCs w:val="22"/>
              </w:rPr>
              <w:t>流化床锅炉</w:t>
            </w:r>
          </w:p>
          <w:p w14:paraId="5F17CCD6" w14:textId="635B3755" w:rsidR="00CB7E96" w:rsidRPr="00E65078" w:rsidRDefault="00CB7E96" w:rsidP="00B579AB">
            <w:pPr>
              <w:autoSpaceDE w:val="0"/>
              <w:autoSpaceDN w:val="0"/>
              <w:adjustRightInd w:val="0"/>
              <w:spacing w:line="360" w:lineRule="exact"/>
              <w:ind w:firstLineChars="0" w:firstLine="0"/>
              <w:jc w:val="center"/>
              <w:rPr>
                <w:rFonts w:ascii="Times New Roman"/>
                <w:sz w:val="24"/>
                <w:szCs w:val="22"/>
              </w:rPr>
            </w:pPr>
            <w:proofErr w:type="gramStart"/>
            <w:r w:rsidRPr="00E65078">
              <w:rPr>
                <w:rFonts w:ascii="Times New Roman"/>
                <w:sz w:val="24"/>
                <w:szCs w:val="22"/>
              </w:rPr>
              <w:t>室燃锅炉</w:t>
            </w:r>
            <w:proofErr w:type="gramEnd"/>
          </w:p>
        </w:tc>
        <w:tc>
          <w:tcPr>
            <w:tcW w:w="2386" w:type="dxa"/>
            <w:tcBorders>
              <w:top w:val="nil"/>
              <w:left w:val="nil"/>
              <w:bottom w:val="single" w:sz="8" w:space="0" w:color="auto"/>
              <w:right w:val="nil"/>
            </w:tcBorders>
            <w:vAlign w:val="center"/>
          </w:tcPr>
          <w:p w14:paraId="2F1A15F8" w14:textId="23C83EA8" w:rsidR="00CB7E96" w:rsidRPr="00CB7E96" w:rsidRDefault="00CB7E96" w:rsidP="00B579AB">
            <w:pPr>
              <w:autoSpaceDE w:val="0"/>
              <w:autoSpaceDN w:val="0"/>
              <w:adjustRightInd w:val="0"/>
              <w:spacing w:line="360" w:lineRule="exact"/>
              <w:ind w:firstLineChars="0" w:firstLine="0"/>
              <w:jc w:val="center"/>
              <w:rPr>
                <w:rFonts w:ascii="Times New Roman"/>
                <w:szCs w:val="28"/>
              </w:rPr>
            </w:pPr>
            <w:r>
              <w:rPr>
                <w:rFonts w:ascii="Times New Roman" w:hint="eastAsia"/>
                <w:szCs w:val="28"/>
              </w:rPr>
              <w:t>-</w:t>
            </w:r>
          </w:p>
        </w:tc>
        <w:tc>
          <w:tcPr>
            <w:tcW w:w="2341" w:type="dxa"/>
            <w:tcBorders>
              <w:top w:val="nil"/>
              <w:left w:val="nil"/>
              <w:bottom w:val="single" w:sz="8" w:space="0" w:color="auto"/>
              <w:right w:val="nil"/>
            </w:tcBorders>
            <w:vAlign w:val="center"/>
          </w:tcPr>
          <w:p w14:paraId="16C997F9" w14:textId="3635184C" w:rsidR="00CB7E96" w:rsidRPr="00CB7E96" w:rsidRDefault="00CB7E96" w:rsidP="00B579AB">
            <w:pPr>
              <w:autoSpaceDE w:val="0"/>
              <w:autoSpaceDN w:val="0"/>
              <w:adjustRightInd w:val="0"/>
              <w:spacing w:line="360" w:lineRule="exact"/>
              <w:ind w:firstLineChars="0" w:firstLine="0"/>
              <w:jc w:val="center"/>
              <w:rPr>
                <w:rFonts w:ascii="Times New Roman"/>
                <w:sz w:val="24"/>
                <w:szCs w:val="22"/>
              </w:rPr>
            </w:pPr>
            <w:r>
              <w:rPr>
                <w:rFonts w:ascii="Times New Roman" w:hint="eastAsia"/>
                <w:sz w:val="24"/>
                <w:szCs w:val="22"/>
              </w:rPr>
              <w:t>300</w:t>
            </w:r>
          </w:p>
        </w:tc>
        <w:tc>
          <w:tcPr>
            <w:tcW w:w="2175" w:type="dxa"/>
            <w:tcBorders>
              <w:top w:val="nil"/>
              <w:left w:val="nil"/>
              <w:bottom w:val="single" w:sz="8" w:space="0" w:color="auto"/>
              <w:right w:val="nil"/>
            </w:tcBorders>
            <w:vAlign w:val="center"/>
          </w:tcPr>
          <w:p w14:paraId="676CF004" w14:textId="02BE255D" w:rsidR="00CB7E96" w:rsidRPr="00CB7E96" w:rsidRDefault="00CB7E96" w:rsidP="00B579AB">
            <w:pPr>
              <w:autoSpaceDE w:val="0"/>
              <w:autoSpaceDN w:val="0"/>
              <w:adjustRightInd w:val="0"/>
              <w:spacing w:line="360" w:lineRule="exact"/>
              <w:ind w:firstLineChars="0" w:firstLine="0"/>
              <w:jc w:val="center"/>
              <w:rPr>
                <w:rFonts w:ascii="Times New Roman"/>
                <w:sz w:val="24"/>
                <w:szCs w:val="22"/>
              </w:rPr>
            </w:pPr>
            <w:r>
              <w:rPr>
                <w:rFonts w:ascii="Times New Roman" w:hint="eastAsia"/>
                <w:sz w:val="24"/>
                <w:szCs w:val="22"/>
              </w:rPr>
              <w:t>200</w:t>
            </w:r>
          </w:p>
        </w:tc>
      </w:tr>
      <w:tr w:rsidR="00CB7E96" w14:paraId="278D81C0" w14:textId="77777777" w:rsidTr="003E60FC">
        <w:tc>
          <w:tcPr>
            <w:tcW w:w="9174" w:type="dxa"/>
            <w:gridSpan w:val="4"/>
            <w:tcBorders>
              <w:top w:val="single" w:sz="8" w:space="0" w:color="auto"/>
              <w:left w:val="nil"/>
              <w:bottom w:val="single" w:sz="12" w:space="0" w:color="auto"/>
              <w:right w:val="nil"/>
            </w:tcBorders>
          </w:tcPr>
          <w:p w14:paraId="31A0522D" w14:textId="7FE5E915" w:rsidR="00CB7E96" w:rsidRPr="00E65078" w:rsidRDefault="00CB7E96" w:rsidP="00CB7E96">
            <w:pPr>
              <w:autoSpaceDE w:val="0"/>
              <w:autoSpaceDN w:val="0"/>
              <w:adjustRightInd w:val="0"/>
              <w:spacing w:line="360" w:lineRule="exact"/>
              <w:ind w:firstLineChars="0" w:firstLine="0"/>
              <w:rPr>
                <w:rFonts w:ascii="Times New Roman"/>
                <w:sz w:val="24"/>
                <w:szCs w:val="22"/>
              </w:rPr>
            </w:pPr>
            <w:r w:rsidRPr="00E65078">
              <w:rPr>
                <w:rFonts w:ascii="Times New Roman"/>
                <w:sz w:val="24"/>
                <w:szCs w:val="22"/>
                <w:vertAlign w:val="superscript"/>
              </w:rPr>
              <w:t>a</w:t>
            </w:r>
            <w:r w:rsidR="00E65078">
              <w:rPr>
                <w:rFonts w:ascii="Times New Roman" w:hint="eastAsia"/>
                <w:sz w:val="24"/>
                <w:szCs w:val="22"/>
                <w:vertAlign w:val="superscript"/>
              </w:rPr>
              <w:t xml:space="preserve"> </w:t>
            </w:r>
            <w:r w:rsidRPr="00E65078">
              <w:rPr>
                <w:rFonts w:ascii="Times New Roman"/>
                <w:sz w:val="24"/>
                <w:szCs w:val="22"/>
              </w:rPr>
              <w:t>污染物基准氧含量要求：</w:t>
            </w:r>
          </w:p>
          <w:p w14:paraId="2EC3BBD9" w14:textId="65366CAB" w:rsidR="00CB7E96" w:rsidRPr="00E65078" w:rsidRDefault="00CB7E96" w:rsidP="00CB7E96">
            <w:pPr>
              <w:autoSpaceDE w:val="0"/>
              <w:autoSpaceDN w:val="0"/>
              <w:adjustRightInd w:val="0"/>
              <w:spacing w:line="360" w:lineRule="exact"/>
              <w:ind w:firstLine="480"/>
              <w:rPr>
                <w:rFonts w:ascii="Times New Roman"/>
                <w:sz w:val="24"/>
                <w:szCs w:val="22"/>
              </w:rPr>
            </w:pPr>
            <w:r w:rsidRPr="00E65078">
              <w:rPr>
                <w:rFonts w:ascii="Times New Roman"/>
                <w:sz w:val="24"/>
                <w:szCs w:val="22"/>
              </w:rPr>
              <w:t xml:space="preserve">a) </w:t>
            </w:r>
            <w:r w:rsidRPr="00E65078">
              <w:rPr>
                <w:rFonts w:ascii="Times New Roman"/>
                <w:sz w:val="24"/>
                <w:szCs w:val="22"/>
              </w:rPr>
              <w:t>蒸汽锅炉：按额定蒸发量不大于</w:t>
            </w:r>
            <w:r w:rsidRPr="00E65078">
              <w:rPr>
                <w:rFonts w:ascii="Times New Roman"/>
                <w:sz w:val="24"/>
                <w:szCs w:val="22"/>
              </w:rPr>
              <w:t>65t/h</w:t>
            </w:r>
            <w:r w:rsidRPr="00E65078">
              <w:rPr>
                <w:rFonts w:ascii="Times New Roman"/>
                <w:sz w:val="24"/>
                <w:szCs w:val="22"/>
              </w:rPr>
              <w:t>，按</w:t>
            </w:r>
            <w:r w:rsidRPr="00E65078">
              <w:rPr>
                <w:rFonts w:ascii="Times New Roman"/>
                <w:sz w:val="24"/>
                <w:szCs w:val="22"/>
              </w:rPr>
              <w:t>9%</w:t>
            </w:r>
            <w:r w:rsidRPr="00E65078">
              <w:rPr>
                <w:rFonts w:ascii="Times New Roman"/>
                <w:sz w:val="24"/>
                <w:szCs w:val="22"/>
              </w:rPr>
              <w:t>；额定蒸发量大于</w:t>
            </w:r>
            <w:r w:rsidRPr="00E65078">
              <w:rPr>
                <w:rFonts w:ascii="Times New Roman"/>
                <w:sz w:val="24"/>
                <w:szCs w:val="22"/>
              </w:rPr>
              <w:t>65t/h</w:t>
            </w:r>
            <w:r w:rsidRPr="00E65078">
              <w:rPr>
                <w:rFonts w:ascii="Times New Roman"/>
                <w:sz w:val="24"/>
                <w:szCs w:val="22"/>
              </w:rPr>
              <w:t>，按</w:t>
            </w:r>
            <w:r w:rsidRPr="00E65078">
              <w:rPr>
                <w:rFonts w:ascii="Times New Roman"/>
                <w:sz w:val="24"/>
                <w:szCs w:val="22"/>
              </w:rPr>
              <w:t>6%</w:t>
            </w:r>
            <w:r w:rsidRPr="00E65078">
              <w:rPr>
                <w:rFonts w:ascii="Times New Roman"/>
                <w:sz w:val="24"/>
                <w:szCs w:val="22"/>
              </w:rPr>
              <w:t>；</w:t>
            </w:r>
          </w:p>
          <w:p w14:paraId="74441C64" w14:textId="34F63AB1" w:rsidR="00CB7E96" w:rsidRPr="00E65078" w:rsidRDefault="00CB7E96" w:rsidP="00CB7E96">
            <w:pPr>
              <w:autoSpaceDE w:val="0"/>
              <w:autoSpaceDN w:val="0"/>
              <w:adjustRightInd w:val="0"/>
              <w:spacing w:line="360" w:lineRule="exact"/>
              <w:ind w:firstLine="480"/>
              <w:rPr>
                <w:rFonts w:ascii="Times New Roman"/>
                <w:sz w:val="24"/>
                <w:szCs w:val="22"/>
              </w:rPr>
            </w:pPr>
            <w:r w:rsidRPr="00E65078">
              <w:rPr>
                <w:rFonts w:ascii="Times New Roman"/>
                <w:sz w:val="24"/>
                <w:szCs w:val="22"/>
              </w:rPr>
              <w:t xml:space="preserve">b) </w:t>
            </w:r>
            <w:r w:rsidRPr="00E65078">
              <w:rPr>
                <w:rFonts w:ascii="Times New Roman"/>
                <w:sz w:val="24"/>
                <w:szCs w:val="22"/>
              </w:rPr>
              <w:t>热水锅炉和有机热载体：按</w:t>
            </w:r>
            <w:r w:rsidRPr="00E65078">
              <w:rPr>
                <w:rFonts w:ascii="Times New Roman"/>
                <w:sz w:val="24"/>
                <w:szCs w:val="22"/>
              </w:rPr>
              <w:t>9%</w:t>
            </w:r>
            <w:r w:rsidRPr="00E65078">
              <w:rPr>
                <w:rFonts w:ascii="Times New Roman"/>
                <w:sz w:val="24"/>
                <w:szCs w:val="22"/>
              </w:rPr>
              <w:t>。</w:t>
            </w:r>
          </w:p>
          <w:p w14:paraId="7EF45A22" w14:textId="63E3D6D5" w:rsidR="00CB7E96" w:rsidRPr="00E65078" w:rsidRDefault="00CB7E96" w:rsidP="00CB7E96">
            <w:pPr>
              <w:autoSpaceDE w:val="0"/>
              <w:autoSpaceDN w:val="0"/>
              <w:adjustRightInd w:val="0"/>
              <w:spacing w:line="360" w:lineRule="exact"/>
              <w:ind w:firstLineChars="0" w:firstLine="0"/>
              <w:rPr>
                <w:rFonts w:ascii="Times New Roman"/>
                <w:sz w:val="24"/>
                <w:szCs w:val="22"/>
              </w:rPr>
            </w:pPr>
            <w:r w:rsidRPr="00E65078">
              <w:rPr>
                <w:rFonts w:ascii="Times New Roman"/>
                <w:sz w:val="24"/>
                <w:szCs w:val="22"/>
                <w:vertAlign w:val="superscript"/>
              </w:rPr>
              <w:t>b</w:t>
            </w:r>
            <w:r w:rsidRPr="00E65078">
              <w:rPr>
                <w:rFonts w:ascii="Times New Roman"/>
                <w:sz w:val="24"/>
                <w:szCs w:val="22"/>
              </w:rPr>
              <w:t xml:space="preserve"> </w:t>
            </w:r>
            <w:r w:rsidRPr="00E65078">
              <w:rPr>
                <w:rFonts w:ascii="Times New Roman"/>
                <w:sz w:val="24"/>
                <w:szCs w:val="22"/>
              </w:rPr>
              <w:t>燃料干燥基硫含量不大于</w:t>
            </w:r>
            <w:r w:rsidRPr="00E65078">
              <w:rPr>
                <w:rFonts w:ascii="Times New Roman"/>
                <w:sz w:val="24"/>
                <w:szCs w:val="22"/>
              </w:rPr>
              <w:t>0.1%</w:t>
            </w:r>
            <w:r w:rsidRPr="00E65078">
              <w:rPr>
                <w:rFonts w:ascii="Times New Roman"/>
                <w:sz w:val="24"/>
                <w:szCs w:val="22"/>
              </w:rPr>
              <w:t>时的限值</w:t>
            </w:r>
            <w:r w:rsidR="00E65078" w:rsidRPr="00E65078">
              <w:rPr>
                <w:rFonts w:ascii="Times New Roman"/>
                <w:sz w:val="24"/>
                <w:szCs w:val="22"/>
              </w:rPr>
              <w:t>。</w:t>
            </w:r>
          </w:p>
          <w:p w14:paraId="06C7AFCD" w14:textId="36B5A383" w:rsidR="00CB7E96" w:rsidRPr="00E65078" w:rsidRDefault="00CB7E96" w:rsidP="00CB7E96">
            <w:pPr>
              <w:autoSpaceDE w:val="0"/>
              <w:autoSpaceDN w:val="0"/>
              <w:adjustRightInd w:val="0"/>
              <w:spacing w:line="360" w:lineRule="exact"/>
              <w:ind w:firstLineChars="0" w:firstLine="0"/>
              <w:rPr>
                <w:rFonts w:ascii="Times New Roman"/>
                <w:sz w:val="24"/>
                <w:szCs w:val="22"/>
              </w:rPr>
            </w:pPr>
            <w:r w:rsidRPr="00E65078">
              <w:rPr>
                <w:rFonts w:ascii="Times New Roman"/>
                <w:sz w:val="24"/>
                <w:szCs w:val="22"/>
                <w:vertAlign w:val="superscript"/>
              </w:rPr>
              <w:t>c</w:t>
            </w:r>
            <w:r w:rsidRPr="00E65078">
              <w:rPr>
                <w:rFonts w:ascii="Times New Roman"/>
                <w:sz w:val="24"/>
                <w:szCs w:val="22"/>
              </w:rPr>
              <w:t xml:space="preserve"> </w:t>
            </w:r>
            <w:r w:rsidRPr="00E65078">
              <w:rPr>
                <w:rFonts w:ascii="Times New Roman"/>
                <w:sz w:val="24"/>
                <w:szCs w:val="22"/>
              </w:rPr>
              <w:t>燃料</w:t>
            </w:r>
            <w:proofErr w:type="gramStart"/>
            <w:r w:rsidRPr="00E65078">
              <w:rPr>
                <w:rFonts w:ascii="Times New Roman"/>
                <w:sz w:val="24"/>
                <w:szCs w:val="22"/>
              </w:rPr>
              <w:t>收到基氮不大于</w:t>
            </w:r>
            <w:proofErr w:type="gramEnd"/>
            <w:r w:rsidRPr="00E65078">
              <w:rPr>
                <w:rFonts w:ascii="Times New Roman"/>
                <w:sz w:val="24"/>
                <w:szCs w:val="22"/>
              </w:rPr>
              <w:t>0.5%</w:t>
            </w:r>
            <w:r w:rsidRPr="00E65078">
              <w:rPr>
                <w:rFonts w:ascii="Times New Roman"/>
                <w:sz w:val="24"/>
                <w:szCs w:val="22"/>
              </w:rPr>
              <w:t>时的限值</w:t>
            </w:r>
            <w:r w:rsidR="00E65078" w:rsidRPr="00E65078">
              <w:rPr>
                <w:rFonts w:ascii="Times New Roman"/>
                <w:sz w:val="24"/>
                <w:szCs w:val="22"/>
              </w:rPr>
              <w:t>。</w:t>
            </w:r>
          </w:p>
          <w:p w14:paraId="770C2251" w14:textId="714EB546" w:rsidR="00E65078" w:rsidRPr="00E65078" w:rsidRDefault="00E65078" w:rsidP="00CB7E96">
            <w:pPr>
              <w:autoSpaceDE w:val="0"/>
              <w:autoSpaceDN w:val="0"/>
              <w:adjustRightInd w:val="0"/>
              <w:spacing w:line="360" w:lineRule="exact"/>
              <w:ind w:firstLineChars="0" w:firstLine="0"/>
              <w:rPr>
                <w:rFonts w:ascii="Times New Roman"/>
                <w:sz w:val="24"/>
                <w:szCs w:val="22"/>
              </w:rPr>
            </w:pPr>
            <w:r w:rsidRPr="00E65078">
              <w:rPr>
                <w:rFonts w:ascii="Times New Roman"/>
                <w:sz w:val="24"/>
                <w:szCs w:val="22"/>
                <w:vertAlign w:val="superscript"/>
              </w:rPr>
              <w:lastRenderedPageBreak/>
              <w:t>d</w:t>
            </w:r>
            <w:r w:rsidRPr="00E65078">
              <w:rPr>
                <w:rFonts w:ascii="Times New Roman"/>
                <w:sz w:val="24"/>
                <w:szCs w:val="22"/>
              </w:rPr>
              <w:t xml:space="preserve"> </w:t>
            </w:r>
            <w:r w:rsidRPr="00E65078">
              <w:rPr>
                <w:rFonts w:ascii="Times New Roman"/>
                <w:sz w:val="24"/>
                <w:szCs w:val="22"/>
              </w:rPr>
              <w:t>表明标准中未规定。</w:t>
            </w:r>
          </w:p>
        </w:tc>
      </w:tr>
    </w:tbl>
    <w:p w14:paraId="0F64883E" w14:textId="67A133AB" w:rsidR="009516E3" w:rsidRDefault="00B579AB" w:rsidP="009516E3">
      <w:pPr>
        <w:autoSpaceDE w:val="0"/>
        <w:autoSpaceDN w:val="0"/>
        <w:adjustRightInd w:val="0"/>
        <w:spacing w:line="560" w:lineRule="exact"/>
        <w:ind w:firstLine="640"/>
        <w:rPr>
          <w:szCs w:val="28"/>
        </w:rPr>
      </w:pPr>
      <w:r w:rsidRPr="00B579AB">
        <w:rPr>
          <w:szCs w:val="28"/>
        </w:rPr>
        <w:lastRenderedPageBreak/>
        <w:t>从</w:t>
      </w:r>
      <w:r w:rsidR="009516E3">
        <w:rPr>
          <w:rFonts w:hint="eastAsia"/>
          <w:szCs w:val="28"/>
        </w:rPr>
        <w:t>大气</w:t>
      </w:r>
      <w:r w:rsidRPr="00B579AB">
        <w:rPr>
          <w:szCs w:val="28"/>
        </w:rPr>
        <w:t>排放监管角度看，</w:t>
      </w:r>
      <w:r w:rsidR="009516E3" w:rsidRPr="009516E3">
        <w:rPr>
          <w:szCs w:val="28"/>
        </w:rPr>
        <w:t>现行生物质锅炉排放管理主要依据《工业锅炉污染物排放标准》（</w:t>
      </w:r>
      <w:r w:rsidR="009516E3" w:rsidRPr="009516E3">
        <w:rPr>
          <w:szCs w:val="28"/>
        </w:rPr>
        <w:t>GB 13271—2014</w:t>
      </w:r>
      <w:r w:rsidR="009516E3" w:rsidRPr="009516E3">
        <w:rPr>
          <w:szCs w:val="28"/>
        </w:rPr>
        <w:t>）实施</w:t>
      </w:r>
      <w:r w:rsidR="009516E3">
        <w:rPr>
          <w:rFonts w:hint="eastAsia"/>
          <w:szCs w:val="28"/>
        </w:rPr>
        <w:t>。</w:t>
      </w:r>
      <w:r w:rsidR="009516E3" w:rsidRPr="009516E3">
        <w:rPr>
          <w:szCs w:val="28"/>
        </w:rPr>
        <w:t>该标准在适用范围中明确，生物质锅炉参照燃煤锅炉的排放控制要求执行，</w:t>
      </w:r>
      <w:r w:rsidR="009516E3">
        <w:rPr>
          <w:rFonts w:hint="eastAsia"/>
          <w:szCs w:val="28"/>
        </w:rPr>
        <w:t>并</w:t>
      </w:r>
      <w:r w:rsidRPr="00B579AB">
        <w:rPr>
          <w:szCs w:val="28"/>
        </w:rPr>
        <w:t>对在用</w:t>
      </w:r>
      <w:r w:rsidR="009516E3">
        <w:rPr>
          <w:rFonts w:hint="eastAsia"/>
          <w:szCs w:val="28"/>
        </w:rPr>
        <w:t>和</w:t>
      </w:r>
      <w:r w:rsidR="00B112D1">
        <w:rPr>
          <w:rFonts w:hint="eastAsia"/>
          <w:szCs w:val="28"/>
        </w:rPr>
        <w:t>2014</w:t>
      </w:r>
      <w:r w:rsidR="00B112D1">
        <w:rPr>
          <w:rFonts w:hint="eastAsia"/>
          <w:szCs w:val="28"/>
        </w:rPr>
        <w:t>年</w:t>
      </w:r>
      <w:r w:rsidR="00B112D1">
        <w:rPr>
          <w:rFonts w:hint="eastAsia"/>
          <w:szCs w:val="28"/>
        </w:rPr>
        <w:t>7</w:t>
      </w:r>
      <w:r w:rsidR="00B112D1">
        <w:rPr>
          <w:rFonts w:hint="eastAsia"/>
          <w:szCs w:val="28"/>
        </w:rPr>
        <w:t>月</w:t>
      </w:r>
      <w:r w:rsidR="00B112D1">
        <w:rPr>
          <w:rFonts w:hint="eastAsia"/>
          <w:szCs w:val="28"/>
        </w:rPr>
        <w:t>1</w:t>
      </w:r>
      <w:r w:rsidR="00B112D1">
        <w:rPr>
          <w:rFonts w:hint="eastAsia"/>
          <w:szCs w:val="28"/>
        </w:rPr>
        <w:t>日</w:t>
      </w:r>
      <w:r w:rsidR="009516E3">
        <w:rPr>
          <w:rFonts w:hint="eastAsia"/>
          <w:szCs w:val="28"/>
        </w:rPr>
        <w:t>之后新建</w:t>
      </w:r>
      <w:r w:rsidRPr="00B579AB">
        <w:rPr>
          <w:szCs w:val="28"/>
        </w:rPr>
        <w:t>锅炉</w:t>
      </w:r>
      <w:r w:rsidR="009516E3">
        <w:rPr>
          <w:rFonts w:hint="eastAsia"/>
          <w:szCs w:val="28"/>
        </w:rPr>
        <w:t>的</w:t>
      </w:r>
      <w:r w:rsidRPr="00B579AB">
        <w:rPr>
          <w:szCs w:val="28"/>
        </w:rPr>
        <w:t>颗粒物、二氧化硫</w:t>
      </w:r>
      <w:r w:rsidR="00AC767C">
        <w:rPr>
          <w:rFonts w:hint="eastAsia"/>
          <w:szCs w:val="28"/>
        </w:rPr>
        <w:t>、</w:t>
      </w:r>
      <w:r w:rsidRPr="00B579AB">
        <w:rPr>
          <w:szCs w:val="28"/>
        </w:rPr>
        <w:t>氮氧化物</w:t>
      </w:r>
      <w:r w:rsidR="00AC767C">
        <w:rPr>
          <w:rFonts w:hint="eastAsia"/>
          <w:szCs w:val="28"/>
        </w:rPr>
        <w:t>和</w:t>
      </w:r>
      <w:r w:rsidR="00AC767C" w:rsidRPr="00AC767C">
        <w:rPr>
          <w:szCs w:val="28"/>
        </w:rPr>
        <w:t>汞及其化合物</w:t>
      </w:r>
      <w:r w:rsidR="009516E3">
        <w:rPr>
          <w:rFonts w:hint="eastAsia"/>
          <w:szCs w:val="28"/>
        </w:rPr>
        <w:t>大气</w:t>
      </w:r>
      <w:r w:rsidRPr="00B579AB">
        <w:rPr>
          <w:szCs w:val="28"/>
        </w:rPr>
        <w:t>排放浓度限值</w:t>
      </w:r>
      <w:proofErr w:type="gramStart"/>
      <w:r w:rsidR="009516E3">
        <w:rPr>
          <w:rFonts w:hint="eastAsia"/>
          <w:szCs w:val="28"/>
        </w:rPr>
        <w:t>作出</w:t>
      </w:r>
      <w:proofErr w:type="gramEnd"/>
      <w:r w:rsidR="009516E3">
        <w:rPr>
          <w:rFonts w:hint="eastAsia"/>
          <w:szCs w:val="28"/>
        </w:rPr>
        <w:t>规定，</w:t>
      </w:r>
      <w:r w:rsidR="009516E3" w:rsidRPr="009516E3">
        <w:rPr>
          <w:szCs w:val="28"/>
        </w:rPr>
        <w:t>同时</w:t>
      </w:r>
      <w:r w:rsidR="009516E3">
        <w:rPr>
          <w:rFonts w:hint="eastAsia"/>
          <w:szCs w:val="28"/>
        </w:rPr>
        <w:t>在部分地区</w:t>
      </w:r>
      <w:r w:rsidR="009516E3" w:rsidRPr="009516E3">
        <w:rPr>
          <w:szCs w:val="28"/>
        </w:rPr>
        <w:t>设置更为严格的特别排放限值</w:t>
      </w:r>
      <w:r w:rsidR="00AC767C" w:rsidRPr="00AC767C">
        <w:rPr>
          <w:szCs w:val="28"/>
        </w:rPr>
        <w:t>（见表</w:t>
      </w:r>
      <w:r w:rsidR="00AC767C">
        <w:rPr>
          <w:rFonts w:hint="eastAsia"/>
          <w:szCs w:val="28"/>
        </w:rPr>
        <w:t>3</w:t>
      </w:r>
      <w:r w:rsidR="00AC767C" w:rsidRPr="00AC767C">
        <w:rPr>
          <w:szCs w:val="28"/>
        </w:rPr>
        <w:t>）</w:t>
      </w:r>
      <w:r w:rsidRPr="00B579AB">
        <w:rPr>
          <w:szCs w:val="28"/>
        </w:rPr>
        <w:t>。</w:t>
      </w:r>
      <w:r w:rsidR="009516E3" w:rsidRPr="009516E3">
        <w:rPr>
          <w:szCs w:val="28"/>
        </w:rPr>
        <w:t>在此基础上，部分地区结合区域环境承载能力和污染防治需求，进一步制定了适用于生物质锅炉的地方排放标准，对相关污染物排放实施更严格的控制。</w:t>
      </w:r>
    </w:p>
    <w:p w14:paraId="18A40F18" w14:textId="6F6516BA" w:rsidR="00743FF1" w:rsidRDefault="00743FF1" w:rsidP="00743FF1">
      <w:pPr>
        <w:autoSpaceDE w:val="0"/>
        <w:autoSpaceDN w:val="0"/>
        <w:adjustRightInd w:val="0"/>
        <w:spacing w:line="560" w:lineRule="exact"/>
        <w:ind w:firstLineChars="0" w:firstLine="0"/>
        <w:jc w:val="center"/>
        <w:rPr>
          <w:szCs w:val="28"/>
        </w:rPr>
      </w:pPr>
      <w:r w:rsidRPr="00743FF1">
        <w:rPr>
          <w:szCs w:val="28"/>
        </w:rPr>
        <w:t>表</w:t>
      </w:r>
      <w:r w:rsidR="009516E3">
        <w:rPr>
          <w:rFonts w:hint="eastAsia"/>
          <w:szCs w:val="28"/>
        </w:rPr>
        <w:t>3</w:t>
      </w:r>
      <w:r w:rsidR="00CB7E96">
        <w:rPr>
          <w:rFonts w:hint="eastAsia"/>
          <w:szCs w:val="28"/>
        </w:rPr>
        <w:t xml:space="preserve"> </w:t>
      </w:r>
      <w:r w:rsidR="00CB7E96">
        <w:rPr>
          <w:rFonts w:hint="eastAsia"/>
          <w:szCs w:val="28"/>
        </w:rPr>
        <w:t>生物质</w:t>
      </w:r>
      <w:r w:rsidRPr="00743FF1">
        <w:rPr>
          <w:szCs w:val="28"/>
        </w:rPr>
        <w:t>锅炉</w:t>
      </w:r>
      <w:r>
        <w:rPr>
          <w:rFonts w:hint="eastAsia"/>
          <w:szCs w:val="28"/>
        </w:rPr>
        <w:t>大气污染物</w:t>
      </w:r>
      <w:r w:rsidRPr="00743FF1">
        <w:rPr>
          <w:szCs w:val="28"/>
        </w:rPr>
        <w:t>排放</w:t>
      </w:r>
      <w:r w:rsidR="00AC767C">
        <w:rPr>
          <w:rFonts w:hint="eastAsia"/>
          <w:szCs w:val="28"/>
        </w:rPr>
        <w:t>执行</w:t>
      </w:r>
      <w:r w:rsidRPr="00743FF1">
        <w:rPr>
          <w:szCs w:val="28"/>
        </w:rPr>
        <w:t>标准</w:t>
      </w:r>
    </w:p>
    <w:p w14:paraId="26363CFF" w14:textId="354BCE5A" w:rsidR="00B54714" w:rsidRPr="00B54714" w:rsidRDefault="00B54714" w:rsidP="00B54714">
      <w:pPr>
        <w:autoSpaceDE w:val="0"/>
        <w:autoSpaceDN w:val="0"/>
        <w:adjustRightInd w:val="0"/>
        <w:ind w:firstLineChars="0" w:firstLine="0"/>
        <w:jc w:val="right"/>
        <w:rPr>
          <w:sz w:val="24"/>
          <w:szCs w:val="22"/>
        </w:rPr>
      </w:pPr>
      <w:r w:rsidRPr="00B54714">
        <w:rPr>
          <w:rFonts w:hint="eastAsia"/>
          <w:sz w:val="24"/>
          <w:szCs w:val="22"/>
        </w:rPr>
        <w:t>单位为毫克每立方米</w:t>
      </w:r>
    </w:p>
    <w:tbl>
      <w:tblPr>
        <w:tblW w:w="5264" w:type="pct"/>
        <w:tblInd w:w="-220" w:type="dxa"/>
        <w:tblLayout w:type="fixed"/>
        <w:tblCellMar>
          <w:left w:w="0" w:type="dxa"/>
          <w:right w:w="0" w:type="dxa"/>
        </w:tblCellMar>
        <w:tblLook w:val="04A0" w:firstRow="1" w:lastRow="0" w:firstColumn="1" w:lastColumn="0" w:noHBand="0" w:noVBand="1"/>
      </w:tblPr>
      <w:tblGrid>
        <w:gridCol w:w="1135"/>
        <w:gridCol w:w="1278"/>
        <w:gridCol w:w="1411"/>
        <w:gridCol w:w="997"/>
        <w:gridCol w:w="851"/>
        <w:gridCol w:w="993"/>
        <w:gridCol w:w="709"/>
        <w:gridCol w:w="849"/>
        <w:gridCol w:w="1275"/>
      </w:tblGrid>
      <w:tr w:rsidR="00B54714" w:rsidRPr="00743FF1" w14:paraId="193AC91E" w14:textId="2AE674FC" w:rsidTr="00251FDC">
        <w:trPr>
          <w:trHeight w:val="540"/>
        </w:trPr>
        <w:tc>
          <w:tcPr>
            <w:tcW w:w="597" w:type="pct"/>
            <w:tcBorders>
              <w:top w:val="single" w:sz="12" w:space="0" w:color="000000"/>
              <w:bottom w:val="single" w:sz="8" w:space="0" w:color="auto"/>
            </w:tcBorders>
            <w:tcMar>
              <w:left w:w="64" w:type="dxa"/>
              <w:right w:w="64" w:type="dxa"/>
            </w:tcMar>
            <w:vAlign w:val="center"/>
          </w:tcPr>
          <w:p w14:paraId="68E3DBE4" w14:textId="77777777" w:rsidR="00B54714" w:rsidRPr="00743FF1" w:rsidRDefault="00B54714" w:rsidP="00743FF1">
            <w:pPr>
              <w:widowControl/>
              <w:ind w:firstLineChars="0" w:firstLine="0"/>
              <w:jc w:val="center"/>
              <w:rPr>
                <w:kern w:val="0"/>
                <w:sz w:val="24"/>
              </w:rPr>
            </w:pPr>
            <w:r w:rsidRPr="00743FF1">
              <w:rPr>
                <w:color w:val="000000"/>
                <w:kern w:val="0"/>
                <w:sz w:val="24"/>
              </w:rPr>
              <w:t>区域</w:t>
            </w:r>
          </w:p>
        </w:tc>
        <w:tc>
          <w:tcPr>
            <w:tcW w:w="673" w:type="pct"/>
            <w:tcBorders>
              <w:top w:val="single" w:sz="12" w:space="0" w:color="000000"/>
              <w:bottom w:val="single" w:sz="8" w:space="0" w:color="auto"/>
            </w:tcBorders>
            <w:tcMar>
              <w:left w:w="64" w:type="dxa"/>
              <w:right w:w="64" w:type="dxa"/>
            </w:tcMar>
            <w:vAlign w:val="center"/>
          </w:tcPr>
          <w:p w14:paraId="0877A14F" w14:textId="77777777" w:rsidR="00B54714" w:rsidRPr="00743FF1" w:rsidRDefault="00B54714" w:rsidP="00743FF1">
            <w:pPr>
              <w:widowControl/>
              <w:ind w:firstLineChars="0" w:firstLine="0"/>
              <w:jc w:val="center"/>
              <w:rPr>
                <w:kern w:val="0"/>
                <w:sz w:val="24"/>
              </w:rPr>
            </w:pPr>
            <w:r w:rsidRPr="00743FF1">
              <w:rPr>
                <w:color w:val="000000"/>
                <w:kern w:val="0"/>
                <w:sz w:val="24"/>
              </w:rPr>
              <w:t>标准号</w:t>
            </w:r>
          </w:p>
        </w:tc>
        <w:tc>
          <w:tcPr>
            <w:tcW w:w="743" w:type="pct"/>
            <w:tcBorders>
              <w:top w:val="single" w:sz="12" w:space="0" w:color="000000"/>
              <w:bottom w:val="single" w:sz="8" w:space="0" w:color="auto"/>
            </w:tcBorders>
            <w:tcMar>
              <w:left w:w="64" w:type="dxa"/>
              <w:right w:w="64" w:type="dxa"/>
            </w:tcMar>
            <w:vAlign w:val="center"/>
          </w:tcPr>
          <w:p w14:paraId="70740141" w14:textId="77777777" w:rsidR="00B54714" w:rsidRPr="00743FF1" w:rsidRDefault="00B54714" w:rsidP="00743FF1">
            <w:pPr>
              <w:widowControl/>
              <w:ind w:firstLineChars="0" w:firstLine="0"/>
              <w:jc w:val="center"/>
              <w:rPr>
                <w:kern w:val="0"/>
                <w:sz w:val="24"/>
              </w:rPr>
            </w:pPr>
            <w:r w:rsidRPr="00743FF1">
              <w:rPr>
                <w:color w:val="000000"/>
                <w:kern w:val="0"/>
                <w:sz w:val="24"/>
              </w:rPr>
              <w:t>说明</w:t>
            </w:r>
          </w:p>
        </w:tc>
        <w:tc>
          <w:tcPr>
            <w:tcW w:w="525" w:type="pct"/>
            <w:tcBorders>
              <w:top w:val="single" w:sz="12" w:space="0" w:color="000000"/>
              <w:bottom w:val="single" w:sz="8" w:space="0" w:color="auto"/>
            </w:tcBorders>
            <w:tcMar>
              <w:left w:w="64" w:type="dxa"/>
              <w:right w:w="64" w:type="dxa"/>
            </w:tcMar>
            <w:vAlign w:val="center"/>
          </w:tcPr>
          <w:p w14:paraId="7E12BAEA" w14:textId="789A92A2" w:rsidR="00B54714" w:rsidRPr="00743FF1" w:rsidRDefault="00B54714" w:rsidP="00B54714">
            <w:pPr>
              <w:widowControl/>
              <w:ind w:firstLineChars="0" w:firstLine="0"/>
              <w:jc w:val="center"/>
              <w:rPr>
                <w:color w:val="000000"/>
                <w:kern w:val="0"/>
                <w:sz w:val="24"/>
              </w:rPr>
            </w:pPr>
            <w:r w:rsidRPr="00743FF1">
              <w:rPr>
                <w:color w:val="000000"/>
                <w:kern w:val="0"/>
                <w:sz w:val="24"/>
              </w:rPr>
              <w:t>颗粒物</w:t>
            </w:r>
          </w:p>
        </w:tc>
        <w:tc>
          <w:tcPr>
            <w:tcW w:w="448" w:type="pct"/>
            <w:tcBorders>
              <w:top w:val="single" w:sz="12" w:space="0" w:color="000000"/>
              <w:bottom w:val="single" w:sz="8" w:space="0" w:color="auto"/>
            </w:tcBorders>
            <w:tcMar>
              <w:left w:w="64" w:type="dxa"/>
              <w:right w:w="64" w:type="dxa"/>
            </w:tcMar>
            <w:vAlign w:val="center"/>
          </w:tcPr>
          <w:p w14:paraId="34B53954" w14:textId="0CA2B676" w:rsidR="00B54714" w:rsidRPr="00743FF1" w:rsidRDefault="00B54714" w:rsidP="00B54714">
            <w:pPr>
              <w:widowControl/>
              <w:ind w:firstLineChars="0" w:firstLine="0"/>
              <w:jc w:val="center"/>
              <w:rPr>
                <w:color w:val="000000"/>
                <w:kern w:val="0"/>
                <w:sz w:val="24"/>
                <w:vertAlign w:val="subscript"/>
              </w:rPr>
            </w:pPr>
            <w:r w:rsidRPr="00743FF1">
              <w:rPr>
                <w:color w:val="000000"/>
                <w:kern w:val="0"/>
                <w:sz w:val="24"/>
              </w:rPr>
              <w:t>SO</w:t>
            </w:r>
            <w:r w:rsidRPr="00743FF1">
              <w:rPr>
                <w:color w:val="000000"/>
                <w:kern w:val="0"/>
                <w:sz w:val="24"/>
                <w:vertAlign w:val="subscript"/>
              </w:rPr>
              <w:t>2</w:t>
            </w:r>
          </w:p>
        </w:tc>
        <w:tc>
          <w:tcPr>
            <w:tcW w:w="523" w:type="pct"/>
            <w:tcBorders>
              <w:top w:val="single" w:sz="12" w:space="0" w:color="000000"/>
              <w:bottom w:val="single" w:sz="8" w:space="0" w:color="auto"/>
            </w:tcBorders>
            <w:tcMar>
              <w:left w:w="64" w:type="dxa"/>
              <w:right w:w="64" w:type="dxa"/>
            </w:tcMar>
            <w:vAlign w:val="center"/>
          </w:tcPr>
          <w:p w14:paraId="6B23AA96" w14:textId="4F8E5A76" w:rsidR="00B54714" w:rsidRPr="00743FF1" w:rsidRDefault="00B54714" w:rsidP="00B54714">
            <w:pPr>
              <w:widowControl/>
              <w:ind w:firstLineChars="0" w:firstLine="0"/>
              <w:jc w:val="center"/>
              <w:rPr>
                <w:color w:val="000000"/>
                <w:kern w:val="0"/>
                <w:sz w:val="24"/>
              </w:rPr>
            </w:pPr>
            <w:r w:rsidRPr="00743FF1">
              <w:rPr>
                <w:color w:val="000000"/>
                <w:kern w:val="0"/>
                <w:sz w:val="24"/>
              </w:rPr>
              <w:t>NO</w:t>
            </w:r>
            <w:r w:rsidRPr="00743FF1">
              <w:rPr>
                <w:i/>
                <w:iCs/>
                <w:color w:val="000000"/>
                <w:kern w:val="0"/>
                <w:sz w:val="24"/>
                <w:vertAlign w:val="subscript"/>
              </w:rPr>
              <w:t>x</w:t>
            </w:r>
          </w:p>
        </w:tc>
        <w:tc>
          <w:tcPr>
            <w:tcW w:w="373" w:type="pct"/>
            <w:tcBorders>
              <w:top w:val="single" w:sz="12" w:space="0" w:color="000000"/>
              <w:bottom w:val="single" w:sz="8" w:space="0" w:color="auto"/>
            </w:tcBorders>
            <w:tcMar>
              <w:left w:w="64" w:type="dxa"/>
              <w:right w:w="64" w:type="dxa"/>
            </w:tcMar>
            <w:vAlign w:val="center"/>
          </w:tcPr>
          <w:p w14:paraId="0261C498" w14:textId="2BA36393" w:rsidR="00B54714" w:rsidRPr="00743FF1" w:rsidRDefault="00B54714" w:rsidP="00B54714">
            <w:pPr>
              <w:widowControl/>
              <w:ind w:firstLineChars="0" w:firstLine="0"/>
              <w:jc w:val="center"/>
              <w:rPr>
                <w:color w:val="000000"/>
                <w:kern w:val="0"/>
                <w:sz w:val="24"/>
              </w:rPr>
            </w:pPr>
            <w:r w:rsidRPr="00743FF1">
              <w:rPr>
                <w:color w:val="000000"/>
                <w:kern w:val="0"/>
                <w:sz w:val="24"/>
              </w:rPr>
              <w:t>CO</w:t>
            </w:r>
          </w:p>
        </w:tc>
        <w:tc>
          <w:tcPr>
            <w:tcW w:w="447" w:type="pct"/>
            <w:tcBorders>
              <w:top w:val="single" w:sz="12" w:space="0" w:color="000000"/>
              <w:bottom w:val="single" w:sz="8" w:space="0" w:color="auto"/>
            </w:tcBorders>
            <w:tcMar>
              <w:left w:w="64" w:type="dxa"/>
              <w:right w:w="64" w:type="dxa"/>
            </w:tcMar>
            <w:vAlign w:val="center"/>
          </w:tcPr>
          <w:p w14:paraId="026FE1EC" w14:textId="7590862D" w:rsidR="00B54714" w:rsidRPr="00743FF1" w:rsidRDefault="00B54714" w:rsidP="00B54714">
            <w:pPr>
              <w:widowControl/>
              <w:ind w:firstLineChars="0" w:firstLine="0"/>
              <w:jc w:val="center"/>
              <w:rPr>
                <w:color w:val="000000"/>
                <w:kern w:val="0"/>
                <w:sz w:val="24"/>
              </w:rPr>
            </w:pPr>
            <w:r w:rsidRPr="00743FF1">
              <w:rPr>
                <w:color w:val="000000"/>
                <w:kern w:val="0"/>
                <w:sz w:val="24"/>
              </w:rPr>
              <w:t>汞及其化合物</w:t>
            </w:r>
          </w:p>
        </w:tc>
        <w:tc>
          <w:tcPr>
            <w:tcW w:w="671" w:type="pct"/>
            <w:tcBorders>
              <w:top w:val="single" w:sz="12" w:space="0" w:color="auto"/>
              <w:bottom w:val="single" w:sz="8" w:space="0" w:color="auto"/>
            </w:tcBorders>
            <w:vAlign w:val="center"/>
          </w:tcPr>
          <w:p w14:paraId="6622AAA5" w14:textId="7DEC281F" w:rsidR="00B54714" w:rsidRPr="00743FF1" w:rsidRDefault="00B54714" w:rsidP="00B54714">
            <w:pPr>
              <w:widowControl/>
              <w:ind w:firstLineChars="0" w:firstLine="0"/>
              <w:jc w:val="center"/>
              <w:rPr>
                <w:color w:val="000000"/>
                <w:kern w:val="0"/>
                <w:sz w:val="24"/>
              </w:rPr>
            </w:pPr>
            <w:r>
              <w:rPr>
                <w:rFonts w:hint="eastAsia"/>
                <w:color w:val="000000"/>
                <w:kern w:val="0"/>
                <w:sz w:val="24"/>
              </w:rPr>
              <w:t>氨</w:t>
            </w:r>
          </w:p>
        </w:tc>
      </w:tr>
      <w:tr w:rsidR="00B54714" w:rsidRPr="00743FF1" w14:paraId="14227B83" w14:textId="5AF95BE3" w:rsidTr="00251FDC">
        <w:trPr>
          <w:trHeight w:val="220"/>
        </w:trPr>
        <w:tc>
          <w:tcPr>
            <w:tcW w:w="597" w:type="pct"/>
            <w:vMerge w:val="restart"/>
            <w:tcBorders>
              <w:top w:val="single" w:sz="8" w:space="0" w:color="auto"/>
              <w:bottom w:val="nil"/>
            </w:tcBorders>
            <w:tcMar>
              <w:left w:w="64" w:type="dxa"/>
              <w:right w:w="64" w:type="dxa"/>
            </w:tcMar>
            <w:vAlign w:val="center"/>
          </w:tcPr>
          <w:p w14:paraId="7F424815" w14:textId="77777777" w:rsidR="00B54714" w:rsidRPr="00743FF1" w:rsidRDefault="00B54714" w:rsidP="00743FF1">
            <w:pPr>
              <w:widowControl/>
              <w:ind w:firstLineChars="0" w:firstLine="0"/>
              <w:jc w:val="center"/>
              <w:rPr>
                <w:kern w:val="0"/>
                <w:sz w:val="24"/>
              </w:rPr>
            </w:pPr>
            <w:r w:rsidRPr="00743FF1">
              <w:rPr>
                <w:color w:val="000000"/>
                <w:kern w:val="0"/>
                <w:sz w:val="24"/>
              </w:rPr>
              <w:t>国家</w:t>
            </w:r>
          </w:p>
        </w:tc>
        <w:tc>
          <w:tcPr>
            <w:tcW w:w="673" w:type="pct"/>
            <w:vMerge w:val="restart"/>
            <w:tcBorders>
              <w:top w:val="single" w:sz="8" w:space="0" w:color="auto"/>
              <w:bottom w:val="nil"/>
            </w:tcBorders>
            <w:tcMar>
              <w:left w:w="64" w:type="dxa"/>
              <w:right w:w="64" w:type="dxa"/>
            </w:tcMar>
            <w:vAlign w:val="center"/>
          </w:tcPr>
          <w:p w14:paraId="671C9D29" w14:textId="0F57A8C0" w:rsidR="00B54714" w:rsidRPr="00743FF1" w:rsidRDefault="00B54714" w:rsidP="00743FF1">
            <w:pPr>
              <w:widowControl/>
              <w:ind w:firstLineChars="0" w:firstLine="0"/>
              <w:jc w:val="center"/>
              <w:rPr>
                <w:kern w:val="0"/>
                <w:sz w:val="24"/>
              </w:rPr>
            </w:pPr>
            <w:r w:rsidRPr="00743FF1">
              <w:rPr>
                <w:color w:val="000000"/>
                <w:kern w:val="0"/>
                <w:sz w:val="24"/>
              </w:rPr>
              <w:t>GB13271-2014</w:t>
            </w:r>
          </w:p>
        </w:tc>
        <w:tc>
          <w:tcPr>
            <w:tcW w:w="743" w:type="pct"/>
            <w:tcBorders>
              <w:top w:val="single" w:sz="8" w:space="0" w:color="auto"/>
              <w:bottom w:val="nil"/>
            </w:tcBorders>
            <w:tcMar>
              <w:left w:w="64" w:type="dxa"/>
              <w:right w:w="64" w:type="dxa"/>
            </w:tcMar>
            <w:vAlign w:val="center"/>
          </w:tcPr>
          <w:p w14:paraId="4FC62A20" w14:textId="1F74ADCB" w:rsidR="00B54714" w:rsidRPr="00743FF1" w:rsidRDefault="00B54714" w:rsidP="00743FF1">
            <w:pPr>
              <w:widowControl/>
              <w:ind w:firstLineChars="0" w:firstLine="0"/>
              <w:jc w:val="center"/>
              <w:rPr>
                <w:kern w:val="0"/>
                <w:sz w:val="24"/>
              </w:rPr>
            </w:pPr>
            <w:r w:rsidRPr="00743FF1">
              <w:rPr>
                <w:color w:val="000000"/>
                <w:kern w:val="0"/>
                <w:sz w:val="24"/>
              </w:rPr>
              <w:t>在用</w:t>
            </w:r>
          </w:p>
        </w:tc>
        <w:tc>
          <w:tcPr>
            <w:tcW w:w="525" w:type="pct"/>
            <w:tcBorders>
              <w:top w:val="single" w:sz="8" w:space="0" w:color="auto"/>
              <w:bottom w:val="nil"/>
            </w:tcBorders>
            <w:tcMar>
              <w:left w:w="64" w:type="dxa"/>
              <w:right w:w="64" w:type="dxa"/>
            </w:tcMar>
            <w:vAlign w:val="center"/>
          </w:tcPr>
          <w:p w14:paraId="004AED9D" w14:textId="77777777" w:rsidR="00B54714" w:rsidRPr="00743FF1" w:rsidRDefault="00B54714" w:rsidP="00743FF1">
            <w:pPr>
              <w:widowControl/>
              <w:ind w:firstLineChars="0" w:firstLine="0"/>
              <w:jc w:val="center"/>
              <w:rPr>
                <w:kern w:val="0"/>
                <w:sz w:val="24"/>
              </w:rPr>
            </w:pPr>
            <w:r w:rsidRPr="00743FF1">
              <w:rPr>
                <w:color w:val="000000"/>
                <w:kern w:val="0"/>
                <w:sz w:val="24"/>
              </w:rPr>
              <w:t>80</w:t>
            </w:r>
          </w:p>
        </w:tc>
        <w:tc>
          <w:tcPr>
            <w:tcW w:w="448" w:type="pct"/>
            <w:tcBorders>
              <w:top w:val="single" w:sz="8" w:space="0" w:color="auto"/>
              <w:bottom w:val="nil"/>
            </w:tcBorders>
            <w:tcMar>
              <w:left w:w="64" w:type="dxa"/>
              <w:right w:w="64" w:type="dxa"/>
            </w:tcMar>
            <w:vAlign w:val="center"/>
          </w:tcPr>
          <w:p w14:paraId="558A474C" w14:textId="77777777" w:rsidR="00B54714" w:rsidRPr="00743FF1" w:rsidRDefault="00B54714" w:rsidP="00743FF1">
            <w:pPr>
              <w:widowControl/>
              <w:ind w:firstLineChars="0" w:firstLine="0"/>
              <w:jc w:val="center"/>
              <w:rPr>
                <w:kern w:val="0"/>
                <w:sz w:val="24"/>
              </w:rPr>
            </w:pPr>
            <w:r w:rsidRPr="00743FF1">
              <w:rPr>
                <w:color w:val="000000"/>
                <w:kern w:val="0"/>
                <w:sz w:val="24"/>
              </w:rPr>
              <w:t>400</w:t>
            </w:r>
          </w:p>
        </w:tc>
        <w:tc>
          <w:tcPr>
            <w:tcW w:w="523" w:type="pct"/>
            <w:tcBorders>
              <w:top w:val="single" w:sz="8" w:space="0" w:color="auto"/>
              <w:bottom w:val="nil"/>
            </w:tcBorders>
            <w:tcMar>
              <w:left w:w="64" w:type="dxa"/>
              <w:right w:w="64" w:type="dxa"/>
            </w:tcMar>
            <w:vAlign w:val="center"/>
          </w:tcPr>
          <w:p w14:paraId="34DE0F58" w14:textId="77777777" w:rsidR="00B54714" w:rsidRPr="00743FF1" w:rsidRDefault="00B54714" w:rsidP="00743FF1">
            <w:pPr>
              <w:widowControl/>
              <w:ind w:firstLineChars="0" w:firstLine="0"/>
              <w:jc w:val="center"/>
              <w:rPr>
                <w:kern w:val="0"/>
                <w:sz w:val="24"/>
              </w:rPr>
            </w:pPr>
            <w:r w:rsidRPr="00743FF1">
              <w:rPr>
                <w:color w:val="000000"/>
                <w:kern w:val="0"/>
                <w:sz w:val="24"/>
              </w:rPr>
              <w:t>400</w:t>
            </w:r>
          </w:p>
        </w:tc>
        <w:tc>
          <w:tcPr>
            <w:tcW w:w="373" w:type="pct"/>
            <w:tcBorders>
              <w:top w:val="single" w:sz="8" w:space="0" w:color="auto"/>
              <w:bottom w:val="nil"/>
            </w:tcBorders>
            <w:tcMar>
              <w:left w:w="64" w:type="dxa"/>
              <w:right w:w="64" w:type="dxa"/>
            </w:tcMar>
            <w:vAlign w:val="center"/>
          </w:tcPr>
          <w:p w14:paraId="45FF77F0" w14:textId="3E1A8F87" w:rsidR="00B54714" w:rsidRPr="00743FF1" w:rsidRDefault="00B54714" w:rsidP="00743FF1">
            <w:pPr>
              <w:widowControl/>
              <w:ind w:firstLineChars="0" w:firstLine="0"/>
              <w:jc w:val="center"/>
              <w:rPr>
                <w:kern w:val="0"/>
                <w:sz w:val="24"/>
              </w:rPr>
            </w:pPr>
            <w:r w:rsidRPr="00743FF1">
              <w:rPr>
                <w:color w:val="000000"/>
                <w:kern w:val="0"/>
                <w:sz w:val="24"/>
              </w:rPr>
              <w:t>-</w:t>
            </w:r>
            <w:r w:rsidRPr="00E65078">
              <w:rPr>
                <w:rFonts w:hint="eastAsia"/>
                <w:color w:val="000000"/>
                <w:kern w:val="0"/>
                <w:sz w:val="24"/>
                <w:vertAlign w:val="superscript"/>
              </w:rPr>
              <w:t>a</w:t>
            </w:r>
          </w:p>
        </w:tc>
        <w:tc>
          <w:tcPr>
            <w:tcW w:w="447" w:type="pct"/>
            <w:tcBorders>
              <w:top w:val="single" w:sz="8" w:space="0" w:color="auto"/>
              <w:bottom w:val="nil"/>
            </w:tcBorders>
            <w:tcMar>
              <w:left w:w="64" w:type="dxa"/>
              <w:right w:w="64" w:type="dxa"/>
            </w:tcMar>
            <w:vAlign w:val="center"/>
          </w:tcPr>
          <w:p w14:paraId="74A90B46" w14:textId="77777777" w:rsidR="00B54714" w:rsidRPr="00743FF1" w:rsidRDefault="00B54714" w:rsidP="00743FF1">
            <w:pPr>
              <w:widowControl/>
              <w:ind w:firstLineChars="0" w:firstLine="0"/>
              <w:jc w:val="center"/>
              <w:rPr>
                <w:kern w:val="0"/>
                <w:sz w:val="24"/>
              </w:rPr>
            </w:pPr>
            <w:r w:rsidRPr="00743FF1">
              <w:rPr>
                <w:color w:val="000000"/>
                <w:kern w:val="0"/>
                <w:sz w:val="24"/>
              </w:rPr>
              <w:t>0.05</w:t>
            </w:r>
          </w:p>
        </w:tc>
        <w:tc>
          <w:tcPr>
            <w:tcW w:w="671" w:type="pct"/>
            <w:tcBorders>
              <w:top w:val="single" w:sz="8" w:space="0" w:color="auto"/>
            </w:tcBorders>
            <w:vAlign w:val="center"/>
          </w:tcPr>
          <w:p w14:paraId="2B46F0D4" w14:textId="7EB00F80" w:rsidR="00B54714" w:rsidRPr="00743FF1" w:rsidRDefault="00B54714" w:rsidP="00B54714">
            <w:pPr>
              <w:widowControl/>
              <w:ind w:firstLineChars="0" w:firstLine="0"/>
              <w:jc w:val="center"/>
              <w:rPr>
                <w:color w:val="000000"/>
                <w:kern w:val="0"/>
                <w:sz w:val="24"/>
              </w:rPr>
            </w:pPr>
            <w:r>
              <w:rPr>
                <w:rFonts w:hint="eastAsia"/>
                <w:color w:val="000000"/>
                <w:kern w:val="0"/>
                <w:sz w:val="24"/>
              </w:rPr>
              <w:t>-</w:t>
            </w:r>
          </w:p>
        </w:tc>
      </w:tr>
      <w:tr w:rsidR="00B54714" w:rsidRPr="00743FF1" w14:paraId="2617386F" w14:textId="5B91B4EE" w:rsidTr="00251FDC">
        <w:trPr>
          <w:trHeight w:val="220"/>
        </w:trPr>
        <w:tc>
          <w:tcPr>
            <w:tcW w:w="597" w:type="pct"/>
            <w:vMerge/>
            <w:tcBorders>
              <w:top w:val="nil"/>
              <w:bottom w:val="nil"/>
            </w:tcBorders>
            <w:tcMar>
              <w:left w:w="64" w:type="dxa"/>
              <w:right w:w="64" w:type="dxa"/>
            </w:tcMar>
            <w:vAlign w:val="center"/>
          </w:tcPr>
          <w:p w14:paraId="09E90678" w14:textId="77777777" w:rsidR="00B54714" w:rsidRPr="00743FF1" w:rsidRDefault="00B54714" w:rsidP="00743FF1">
            <w:pPr>
              <w:ind w:firstLineChars="0" w:firstLine="0"/>
              <w:rPr>
                <w:sz w:val="24"/>
              </w:rPr>
            </w:pPr>
          </w:p>
        </w:tc>
        <w:tc>
          <w:tcPr>
            <w:tcW w:w="673" w:type="pct"/>
            <w:vMerge/>
            <w:tcBorders>
              <w:top w:val="nil"/>
              <w:bottom w:val="nil"/>
            </w:tcBorders>
            <w:tcMar>
              <w:left w:w="64" w:type="dxa"/>
              <w:right w:w="64" w:type="dxa"/>
            </w:tcMar>
            <w:vAlign w:val="center"/>
          </w:tcPr>
          <w:p w14:paraId="4BA9CDB5" w14:textId="77777777" w:rsidR="00B54714" w:rsidRPr="00743FF1" w:rsidRDefault="00B54714" w:rsidP="00743FF1">
            <w:pPr>
              <w:ind w:firstLineChars="0" w:firstLine="0"/>
              <w:rPr>
                <w:sz w:val="24"/>
              </w:rPr>
            </w:pPr>
          </w:p>
        </w:tc>
        <w:tc>
          <w:tcPr>
            <w:tcW w:w="743" w:type="pct"/>
            <w:tcBorders>
              <w:top w:val="nil"/>
              <w:bottom w:val="nil"/>
            </w:tcBorders>
            <w:tcMar>
              <w:left w:w="64" w:type="dxa"/>
              <w:right w:w="64" w:type="dxa"/>
            </w:tcMar>
            <w:vAlign w:val="center"/>
          </w:tcPr>
          <w:p w14:paraId="182000D3" w14:textId="77777777" w:rsidR="00B54714" w:rsidRDefault="00B54714" w:rsidP="00743FF1">
            <w:pPr>
              <w:widowControl/>
              <w:ind w:firstLineChars="0" w:firstLine="0"/>
              <w:jc w:val="center"/>
              <w:rPr>
                <w:color w:val="000000"/>
                <w:kern w:val="0"/>
                <w:sz w:val="24"/>
              </w:rPr>
            </w:pPr>
            <w:r w:rsidRPr="00743FF1">
              <w:rPr>
                <w:color w:val="000000"/>
                <w:kern w:val="0"/>
                <w:sz w:val="24"/>
              </w:rPr>
              <w:t>新建</w:t>
            </w:r>
          </w:p>
          <w:p w14:paraId="4C4587B9" w14:textId="3547A209" w:rsidR="00B54714" w:rsidRPr="00743FF1" w:rsidRDefault="00B54714" w:rsidP="00743FF1">
            <w:pPr>
              <w:widowControl/>
              <w:ind w:firstLineChars="0" w:firstLine="0"/>
              <w:jc w:val="center"/>
              <w:rPr>
                <w:kern w:val="0"/>
                <w:sz w:val="24"/>
              </w:rPr>
            </w:pPr>
            <w:r>
              <w:rPr>
                <w:rFonts w:hint="eastAsia"/>
                <w:color w:val="000000"/>
                <w:kern w:val="0"/>
                <w:sz w:val="24"/>
              </w:rPr>
              <w:t>（</w:t>
            </w:r>
            <w:r>
              <w:rPr>
                <w:rFonts w:hint="eastAsia"/>
                <w:color w:val="000000"/>
                <w:kern w:val="0"/>
                <w:sz w:val="24"/>
              </w:rPr>
              <w:t>2014</w:t>
            </w:r>
            <w:r>
              <w:rPr>
                <w:rFonts w:hint="eastAsia"/>
                <w:color w:val="000000"/>
                <w:kern w:val="0"/>
                <w:sz w:val="24"/>
              </w:rPr>
              <w:t>年</w:t>
            </w:r>
            <w:r>
              <w:rPr>
                <w:rFonts w:hint="eastAsia"/>
                <w:color w:val="000000"/>
                <w:kern w:val="0"/>
                <w:sz w:val="24"/>
              </w:rPr>
              <w:t>7</w:t>
            </w:r>
            <w:r>
              <w:rPr>
                <w:rFonts w:hint="eastAsia"/>
                <w:color w:val="000000"/>
                <w:kern w:val="0"/>
                <w:sz w:val="24"/>
              </w:rPr>
              <w:t>月</w:t>
            </w:r>
            <w:r>
              <w:rPr>
                <w:rFonts w:hint="eastAsia"/>
                <w:color w:val="000000"/>
                <w:kern w:val="0"/>
                <w:sz w:val="24"/>
              </w:rPr>
              <w:t>1</w:t>
            </w:r>
            <w:r>
              <w:rPr>
                <w:rFonts w:hint="eastAsia"/>
                <w:color w:val="000000"/>
                <w:kern w:val="0"/>
                <w:sz w:val="24"/>
              </w:rPr>
              <w:t>日后）</w:t>
            </w:r>
          </w:p>
        </w:tc>
        <w:tc>
          <w:tcPr>
            <w:tcW w:w="525" w:type="pct"/>
            <w:tcBorders>
              <w:top w:val="nil"/>
              <w:bottom w:val="nil"/>
            </w:tcBorders>
            <w:tcMar>
              <w:left w:w="64" w:type="dxa"/>
              <w:right w:w="64" w:type="dxa"/>
            </w:tcMar>
            <w:vAlign w:val="center"/>
          </w:tcPr>
          <w:p w14:paraId="22749E6C" w14:textId="77777777" w:rsidR="00B54714" w:rsidRPr="00743FF1" w:rsidRDefault="00B54714" w:rsidP="00743FF1">
            <w:pPr>
              <w:widowControl/>
              <w:ind w:firstLineChars="0" w:firstLine="0"/>
              <w:jc w:val="center"/>
              <w:rPr>
                <w:kern w:val="0"/>
                <w:sz w:val="24"/>
              </w:rPr>
            </w:pPr>
            <w:r w:rsidRPr="00743FF1">
              <w:rPr>
                <w:color w:val="000000"/>
                <w:kern w:val="0"/>
                <w:sz w:val="24"/>
              </w:rPr>
              <w:t>50</w:t>
            </w:r>
          </w:p>
        </w:tc>
        <w:tc>
          <w:tcPr>
            <w:tcW w:w="448" w:type="pct"/>
            <w:tcBorders>
              <w:top w:val="nil"/>
              <w:bottom w:val="nil"/>
            </w:tcBorders>
            <w:tcMar>
              <w:left w:w="64" w:type="dxa"/>
              <w:right w:w="64" w:type="dxa"/>
            </w:tcMar>
            <w:vAlign w:val="center"/>
          </w:tcPr>
          <w:p w14:paraId="6EEE6362" w14:textId="77777777" w:rsidR="00B54714" w:rsidRPr="00743FF1" w:rsidRDefault="00B54714" w:rsidP="00743FF1">
            <w:pPr>
              <w:widowControl/>
              <w:ind w:firstLineChars="0" w:firstLine="0"/>
              <w:jc w:val="center"/>
              <w:rPr>
                <w:kern w:val="0"/>
                <w:sz w:val="24"/>
              </w:rPr>
            </w:pPr>
            <w:r w:rsidRPr="00743FF1">
              <w:rPr>
                <w:color w:val="000000"/>
                <w:kern w:val="0"/>
                <w:sz w:val="24"/>
              </w:rPr>
              <w:t>300</w:t>
            </w:r>
          </w:p>
        </w:tc>
        <w:tc>
          <w:tcPr>
            <w:tcW w:w="523" w:type="pct"/>
            <w:tcBorders>
              <w:top w:val="nil"/>
              <w:bottom w:val="nil"/>
            </w:tcBorders>
            <w:tcMar>
              <w:left w:w="64" w:type="dxa"/>
              <w:right w:w="64" w:type="dxa"/>
            </w:tcMar>
            <w:vAlign w:val="center"/>
          </w:tcPr>
          <w:p w14:paraId="4A6791C0" w14:textId="77777777" w:rsidR="00B54714" w:rsidRPr="00743FF1" w:rsidRDefault="00B54714" w:rsidP="00743FF1">
            <w:pPr>
              <w:widowControl/>
              <w:ind w:firstLineChars="0" w:firstLine="0"/>
              <w:jc w:val="center"/>
              <w:rPr>
                <w:kern w:val="0"/>
                <w:sz w:val="24"/>
              </w:rPr>
            </w:pPr>
            <w:r w:rsidRPr="00743FF1">
              <w:rPr>
                <w:color w:val="000000"/>
                <w:kern w:val="0"/>
                <w:sz w:val="24"/>
              </w:rPr>
              <w:t>300</w:t>
            </w:r>
          </w:p>
        </w:tc>
        <w:tc>
          <w:tcPr>
            <w:tcW w:w="373" w:type="pct"/>
            <w:tcBorders>
              <w:top w:val="nil"/>
              <w:bottom w:val="nil"/>
            </w:tcBorders>
            <w:tcMar>
              <w:left w:w="64" w:type="dxa"/>
              <w:right w:w="64" w:type="dxa"/>
            </w:tcMar>
            <w:vAlign w:val="center"/>
          </w:tcPr>
          <w:p w14:paraId="024F4301" w14:textId="7AE5700C" w:rsidR="00B54714" w:rsidRPr="00743FF1" w:rsidRDefault="00B54714" w:rsidP="00743FF1">
            <w:pPr>
              <w:widowControl/>
              <w:ind w:firstLineChars="0" w:firstLine="0"/>
              <w:jc w:val="center"/>
              <w:rPr>
                <w:kern w:val="0"/>
                <w:sz w:val="24"/>
              </w:rPr>
            </w:pPr>
            <w:r w:rsidRPr="00743FF1">
              <w:rPr>
                <w:color w:val="000000"/>
                <w:kern w:val="0"/>
                <w:sz w:val="24"/>
              </w:rPr>
              <w:t>-</w:t>
            </w:r>
          </w:p>
        </w:tc>
        <w:tc>
          <w:tcPr>
            <w:tcW w:w="447" w:type="pct"/>
            <w:tcBorders>
              <w:top w:val="nil"/>
              <w:bottom w:val="nil"/>
            </w:tcBorders>
            <w:tcMar>
              <w:left w:w="64" w:type="dxa"/>
              <w:right w:w="64" w:type="dxa"/>
            </w:tcMar>
            <w:vAlign w:val="center"/>
          </w:tcPr>
          <w:p w14:paraId="35CA1F15" w14:textId="77777777" w:rsidR="00B54714" w:rsidRPr="00743FF1" w:rsidRDefault="00B54714" w:rsidP="00743FF1">
            <w:pPr>
              <w:widowControl/>
              <w:ind w:firstLineChars="0" w:firstLine="0"/>
              <w:jc w:val="center"/>
              <w:rPr>
                <w:kern w:val="0"/>
                <w:sz w:val="24"/>
              </w:rPr>
            </w:pPr>
            <w:r w:rsidRPr="00743FF1">
              <w:rPr>
                <w:color w:val="000000"/>
                <w:kern w:val="0"/>
                <w:sz w:val="24"/>
              </w:rPr>
              <w:t>0.05</w:t>
            </w:r>
          </w:p>
        </w:tc>
        <w:tc>
          <w:tcPr>
            <w:tcW w:w="671" w:type="pct"/>
            <w:vAlign w:val="center"/>
          </w:tcPr>
          <w:p w14:paraId="7FD6E5F9" w14:textId="434F9424" w:rsidR="00B54714" w:rsidRPr="00743FF1" w:rsidRDefault="00B54714" w:rsidP="00B54714">
            <w:pPr>
              <w:widowControl/>
              <w:ind w:firstLineChars="0" w:firstLine="0"/>
              <w:jc w:val="center"/>
              <w:rPr>
                <w:color w:val="000000"/>
                <w:kern w:val="0"/>
                <w:sz w:val="24"/>
              </w:rPr>
            </w:pPr>
            <w:r>
              <w:rPr>
                <w:rFonts w:hint="eastAsia"/>
                <w:color w:val="000000"/>
                <w:kern w:val="0"/>
                <w:sz w:val="24"/>
              </w:rPr>
              <w:t>-</w:t>
            </w:r>
          </w:p>
        </w:tc>
      </w:tr>
      <w:tr w:rsidR="00B54714" w:rsidRPr="00743FF1" w14:paraId="7673957F" w14:textId="724187A7" w:rsidTr="00652937">
        <w:trPr>
          <w:trHeight w:val="220"/>
        </w:trPr>
        <w:tc>
          <w:tcPr>
            <w:tcW w:w="597" w:type="pct"/>
            <w:vMerge/>
            <w:tcBorders>
              <w:top w:val="nil"/>
            </w:tcBorders>
            <w:tcMar>
              <w:left w:w="64" w:type="dxa"/>
              <w:right w:w="64" w:type="dxa"/>
            </w:tcMar>
            <w:vAlign w:val="center"/>
          </w:tcPr>
          <w:p w14:paraId="63DCAF99" w14:textId="77777777" w:rsidR="00B54714" w:rsidRPr="00743FF1" w:rsidRDefault="00B54714" w:rsidP="00743FF1">
            <w:pPr>
              <w:ind w:firstLineChars="0" w:firstLine="0"/>
              <w:rPr>
                <w:sz w:val="24"/>
              </w:rPr>
            </w:pPr>
          </w:p>
        </w:tc>
        <w:tc>
          <w:tcPr>
            <w:tcW w:w="673" w:type="pct"/>
            <w:vMerge/>
            <w:tcBorders>
              <w:top w:val="nil"/>
            </w:tcBorders>
            <w:tcMar>
              <w:left w:w="64" w:type="dxa"/>
              <w:right w:w="64" w:type="dxa"/>
            </w:tcMar>
            <w:vAlign w:val="center"/>
          </w:tcPr>
          <w:p w14:paraId="2449600B" w14:textId="77777777" w:rsidR="00B54714" w:rsidRPr="00743FF1" w:rsidRDefault="00B54714" w:rsidP="00743FF1">
            <w:pPr>
              <w:ind w:firstLineChars="0" w:firstLine="0"/>
              <w:rPr>
                <w:sz w:val="24"/>
              </w:rPr>
            </w:pPr>
          </w:p>
        </w:tc>
        <w:tc>
          <w:tcPr>
            <w:tcW w:w="743" w:type="pct"/>
            <w:tcBorders>
              <w:top w:val="nil"/>
            </w:tcBorders>
            <w:tcMar>
              <w:left w:w="64" w:type="dxa"/>
              <w:right w:w="64" w:type="dxa"/>
            </w:tcMar>
            <w:vAlign w:val="center"/>
          </w:tcPr>
          <w:p w14:paraId="2DF64935" w14:textId="40C0F54A" w:rsidR="00B54714" w:rsidRPr="00B54714" w:rsidRDefault="00B54714" w:rsidP="00B54714">
            <w:pPr>
              <w:widowControl/>
              <w:ind w:firstLineChars="0" w:firstLine="0"/>
              <w:jc w:val="center"/>
              <w:rPr>
                <w:color w:val="000000"/>
                <w:kern w:val="0"/>
                <w:sz w:val="24"/>
              </w:rPr>
            </w:pPr>
            <w:r>
              <w:rPr>
                <w:rFonts w:hint="eastAsia"/>
                <w:color w:val="000000"/>
                <w:kern w:val="0"/>
                <w:sz w:val="24"/>
              </w:rPr>
              <w:t>特定区域</w:t>
            </w:r>
            <w:r w:rsidR="003E60FC" w:rsidRPr="003E60FC">
              <w:rPr>
                <w:rFonts w:hint="eastAsia"/>
                <w:color w:val="000000"/>
                <w:kern w:val="0"/>
                <w:sz w:val="24"/>
                <w:vertAlign w:val="superscript"/>
              </w:rPr>
              <w:t>b</w:t>
            </w:r>
          </w:p>
        </w:tc>
        <w:tc>
          <w:tcPr>
            <w:tcW w:w="525" w:type="pct"/>
            <w:tcBorders>
              <w:top w:val="nil"/>
            </w:tcBorders>
            <w:tcMar>
              <w:left w:w="64" w:type="dxa"/>
              <w:right w:w="64" w:type="dxa"/>
            </w:tcMar>
            <w:vAlign w:val="center"/>
          </w:tcPr>
          <w:p w14:paraId="5C634D78" w14:textId="4A3B4E0B" w:rsidR="00B54714" w:rsidRPr="00743FF1" w:rsidRDefault="00B54714" w:rsidP="00743FF1">
            <w:pPr>
              <w:widowControl/>
              <w:ind w:firstLineChars="0" w:firstLine="0"/>
              <w:jc w:val="center"/>
              <w:rPr>
                <w:kern w:val="0"/>
                <w:sz w:val="24"/>
              </w:rPr>
            </w:pPr>
            <w:r>
              <w:rPr>
                <w:rFonts w:hint="eastAsia"/>
                <w:color w:val="000000"/>
                <w:kern w:val="0"/>
                <w:sz w:val="24"/>
              </w:rPr>
              <w:t>3</w:t>
            </w:r>
            <w:r w:rsidRPr="00743FF1">
              <w:rPr>
                <w:color w:val="000000"/>
                <w:kern w:val="0"/>
                <w:sz w:val="24"/>
              </w:rPr>
              <w:t>0</w:t>
            </w:r>
          </w:p>
        </w:tc>
        <w:tc>
          <w:tcPr>
            <w:tcW w:w="448" w:type="pct"/>
            <w:tcBorders>
              <w:top w:val="nil"/>
            </w:tcBorders>
            <w:tcMar>
              <w:left w:w="64" w:type="dxa"/>
              <w:right w:w="64" w:type="dxa"/>
            </w:tcMar>
            <w:vAlign w:val="center"/>
          </w:tcPr>
          <w:p w14:paraId="689FDEEA" w14:textId="77777777" w:rsidR="00B54714" w:rsidRPr="00743FF1" w:rsidRDefault="00B54714" w:rsidP="00743FF1">
            <w:pPr>
              <w:widowControl/>
              <w:ind w:firstLineChars="0" w:firstLine="0"/>
              <w:jc w:val="center"/>
              <w:rPr>
                <w:kern w:val="0"/>
                <w:sz w:val="24"/>
              </w:rPr>
            </w:pPr>
            <w:r w:rsidRPr="00743FF1">
              <w:rPr>
                <w:color w:val="000000"/>
                <w:kern w:val="0"/>
                <w:sz w:val="24"/>
              </w:rPr>
              <w:t>200</w:t>
            </w:r>
          </w:p>
        </w:tc>
        <w:tc>
          <w:tcPr>
            <w:tcW w:w="523" w:type="pct"/>
            <w:tcBorders>
              <w:top w:val="nil"/>
            </w:tcBorders>
            <w:tcMar>
              <w:left w:w="64" w:type="dxa"/>
              <w:right w:w="64" w:type="dxa"/>
            </w:tcMar>
            <w:vAlign w:val="center"/>
          </w:tcPr>
          <w:p w14:paraId="5837AD8B" w14:textId="77777777" w:rsidR="00B54714" w:rsidRPr="00743FF1" w:rsidRDefault="00B54714" w:rsidP="00743FF1">
            <w:pPr>
              <w:widowControl/>
              <w:ind w:firstLineChars="0" w:firstLine="0"/>
              <w:jc w:val="center"/>
              <w:rPr>
                <w:kern w:val="0"/>
                <w:sz w:val="24"/>
              </w:rPr>
            </w:pPr>
            <w:r w:rsidRPr="00743FF1">
              <w:rPr>
                <w:color w:val="000000"/>
                <w:kern w:val="0"/>
                <w:sz w:val="24"/>
              </w:rPr>
              <w:t>200</w:t>
            </w:r>
          </w:p>
        </w:tc>
        <w:tc>
          <w:tcPr>
            <w:tcW w:w="373" w:type="pct"/>
            <w:tcBorders>
              <w:top w:val="nil"/>
            </w:tcBorders>
            <w:tcMar>
              <w:left w:w="64" w:type="dxa"/>
              <w:right w:w="64" w:type="dxa"/>
            </w:tcMar>
            <w:vAlign w:val="center"/>
          </w:tcPr>
          <w:p w14:paraId="6B0994F8" w14:textId="6006AB45" w:rsidR="00B54714" w:rsidRPr="00743FF1" w:rsidRDefault="00B54714" w:rsidP="00743FF1">
            <w:pPr>
              <w:widowControl/>
              <w:ind w:firstLineChars="0" w:firstLine="0"/>
              <w:jc w:val="center"/>
              <w:rPr>
                <w:kern w:val="0"/>
                <w:sz w:val="24"/>
              </w:rPr>
            </w:pPr>
            <w:r w:rsidRPr="00743FF1">
              <w:rPr>
                <w:color w:val="000000"/>
                <w:kern w:val="0"/>
                <w:sz w:val="24"/>
              </w:rPr>
              <w:t>-</w:t>
            </w:r>
          </w:p>
        </w:tc>
        <w:tc>
          <w:tcPr>
            <w:tcW w:w="447" w:type="pct"/>
            <w:tcBorders>
              <w:top w:val="nil"/>
            </w:tcBorders>
            <w:tcMar>
              <w:left w:w="64" w:type="dxa"/>
              <w:right w:w="64" w:type="dxa"/>
            </w:tcMar>
            <w:vAlign w:val="center"/>
          </w:tcPr>
          <w:p w14:paraId="69A4E860" w14:textId="77777777" w:rsidR="00B54714" w:rsidRPr="00743FF1" w:rsidRDefault="00B54714" w:rsidP="00743FF1">
            <w:pPr>
              <w:widowControl/>
              <w:ind w:firstLineChars="0" w:firstLine="0"/>
              <w:jc w:val="center"/>
              <w:rPr>
                <w:kern w:val="0"/>
                <w:sz w:val="24"/>
              </w:rPr>
            </w:pPr>
            <w:r w:rsidRPr="00743FF1">
              <w:rPr>
                <w:color w:val="000000"/>
                <w:kern w:val="0"/>
                <w:sz w:val="24"/>
              </w:rPr>
              <w:t>0.05</w:t>
            </w:r>
          </w:p>
        </w:tc>
        <w:tc>
          <w:tcPr>
            <w:tcW w:w="671" w:type="pct"/>
            <w:vAlign w:val="center"/>
          </w:tcPr>
          <w:p w14:paraId="56FDF7CB" w14:textId="5EF2FF9E" w:rsidR="00B54714" w:rsidRPr="00743FF1" w:rsidRDefault="00B54714" w:rsidP="00B54714">
            <w:pPr>
              <w:widowControl/>
              <w:ind w:firstLineChars="0" w:firstLine="0"/>
              <w:jc w:val="center"/>
              <w:rPr>
                <w:color w:val="000000"/>
                <w:kern w:val="0"/>
                <w:sz w:val="24"/>
              </w:rPr>
            </w:pPr>
            <w:r>
              <w:rPr>
                <w:rFonts w:hint="eastAsia"/>
                <w:color w:val="000000"/>
                <w:kern w:val="0"/>
                <w:sz w:val="24"/>
              </w:rPr>
              <w:t>-</w:t>
            </w:r>
          </w:p>
        </w:tc>
      </w:tr>
      <w:tr w:rsidR="00B54714" w:rsidRPr="00743FF1" w14:paraId="0DE20E5F" w14:textId="681816C3" w:rsidTr="00652937">
        <w:trPr>
          <w:trHeight w:val="220"/>
        </w:trPr>
        <w:tc>
          <w:tcPr>
            <w:tcW w:w="597" w:type="pct"/>
            <w:tcBorders>
              <w:top w:val="nil"/>
            </w:tcBorders>
            <w:tcMar>
              <w:left w:w="64" w:type="dxa"/>
              <w:right w:w="64" w:type="dxa"/>
            </w:tcMar>
            <w:vAlign w:val="center"/>
          </w:tcPr>
          <w:p w14:paraId="4B3B152F" w14:textId="77777777" w:rsidR="00B54714" w:rsidRPr="00743FF1" w:rsidRDefault="00B54714" w:rsidP="00743FF1">
            <w:pPr>
              <w:widowControl/>
              <w:ind w:firstLineChars="0" w:firstLine="0"/>
              <w:jc w:val="center"/>
              <w:rPr>
                <w:kern w:val="0"/>
                <w:sz w:val="24"/>
              </w:rPr>
            </w:pPr>
            <w:r w:rsidRPr="00743FF1">
              <w:rPr>
                <w:color w:val="000000"/>
                <w:kern w:val="0"/>
                <w:sz w:val="24"/>
              </w:rPr>
              <w:t>上海市</w:t>
            </w:r>
          </w:p>
        </w:tc>
        <w:tc>
          <w:tcPr>
            <w:tcW w:w="673" w:type="pct"/>
            <w:tcBorders>
              <w:top w:val="nil"/>
            </w:tcBorders>
            <w:tcMar>
              <w:left w:w="64" w:type="dxa"/>
              <w:right w:w="64" w:type="dxa"/>
            </w:tcMar>
            <w:vAlign w:val="center"/>
          </w:tcPr>
          <w:p w14:paraId="34A88338" w14:textId="77777777" w:rsidR="00B54714" w:rsidRPr="00743FF1" w:rsidRDefault="00B54714" w:rsidP="00743FF1">
            <w:pPr>
              <w:widowControl/>
              <w:ind w:firstLineChars="0" w:firstLine="0"/>
              <w:jc w:val="center"/>
              <w:rPr>
                <w:kern w:val="0"/>
                <w:sz w:val="24"/>
              </w:rPr>
            </w:pPr>
            <w:r w:rsidRPr="00743FF1">
              <w:rPr>
                <w:color w:val="000000"/>
                <w:kern w:val="0"/>
                <w:sz w:val="24"/>
              </w:rPr>
              <w:t>DB31/387-2018</w:t>
            </w:r>
          </w:p>
        </w:tc>
        <w:tc>
          <w:tcPr>
            <w:tcW w:w="743" w:type="pct"/>
            <w:tcBorders>
              <w:top w:val="nil"/>
            </w:tcBorders>
            <w:tcMar>
              <w:left w:w="64" w:type="dxa"/>
              <w:right w:w="64" w:type="dxa"/>
            </w:tcMar>
            <w:vAlign w:val="center"/>
          </w:tcPr>
          <w:p w14:paraId="3FBEB856" w14:textId="62BC25D0" w:rsidR="00B54714" w:rsidRPr="00743FF1" w:rsidRDefault="00B54714" w:rsidP="00743FF1">
            <w:pPr>
              <w:widowControl/>
              <w:ind w:firstLineChars="0" w:firstLine="0"/>
              <w:jc w:val="center"/>
              <w:rPr>
                <w:kern w:val="0"/>
                <w:sz w:val="24"/>
              </w:rPr>
            </w:pPr>
            <w:r w:rsidRPr="00743FF1">
              <w:rPr>
                <w:color w:val="000000"/>
                <w:kern w:val="0"/>
                <w:sz w:val="24"/>
              </w:rPr>
              <w:t>在用</w:t>
            </w:r>
            <w:r w:rsidR="00A6506D">
              <w:rPr>
                <w:rFonts w:hint="eastAsia"/>
                <w:color w:val="000000"/>
                <w:kern w:val="0"/>
                <w:sz w:val="24"/>
              </w:rPr>
              <w:t>和</w:t>
            </w:r>
            <w:r>
              <w:rPr>
                <w:rFonts w:hint="eastAsia"/>
                <w:color w:val="000000"/>
                <w:kern w:val="0"/>
                <w:sz w:val="24"/>
              </w:rPr>
              <w:t>新建</w:t>
            </w:r>
          </w:p>
        </w:tc>
        <w:tc>
          <w:tcPr>
            <w:tcW w:w="525" w:type="pct"/>
            <w:tcBorders>
              <w:top w:val="nil"/>
            </w:tcBorders>
            <w:tcMar>
              <w:left w:w="64" w:type="dxa"/>
              <w:right w:w="64" w:type="dxa"/>
            </w:tcMar>
            <w:vAlign w:val="center"/>
          </w:tcPr>
          <w:p w14:paraId="12B28F8A" w14:textId="041B9086" w:rsidR="00B54714" w:rsidRPr="00743FF1" w:rsidRDefault="00B54714" w:rsidP="00743FF1">
            <w:pPr>
              <w:widowControl/>
              <w:ind w:firstLineChars="0" w:firstLine="0"/>
              <w:jc w:val="center"/>
              <w:rPr>
                <w:kern w:val="0"/>
                <w:sz w:val="24"/>
              </w:rPr>
            </w:pPr>
            <w:r>
              <w:rPr>
                <w:rFonts w:hint="eastAsia"/>
                <w:color w:val="000000"/>
                <w:kern w:val="0"/>
                <w:sz w:val="24"/>
              </w:rPr>
              <w:t>20</w:t>
            </w:r>
          </w:p>
        </w:tc>
        <w:tc>
          <w:tcPr>
            <w:tcW w:w="448" w:type="pct"/>
            <w:tcBorders>
              <w:top w:val="nil"/>
            </w:tcBorders>
            <w:tcMar>
              <w:left w:w="64" w:type="dxa"/>
              <w:right w:w="64" w:type="dxa"/>
            </w:tcMar>
            <w:vAlign w:val="center"/>
          </w:tcPr>
          <w:p w14:paraId="673961DE" w14:textId="77777777" w:rsidR="00B54714" w:rsidRPr="00743FF1" w:rsidRDefault="00B54714" w:rsidP="00743FF1">
            <w:pPr>
              <w:widowControl/>
              <w:ind w:firstLineChars="0" w:firstLine="0"/>
              <w:jc w:val="center"/>
              <w:rPr>
                <w:kern w:val="0"/>
                <w:sz w:val="24"/>
              </w:rPr>
            </w:pPr>
            <w:r w:rsidRPr="00743FF1">
              <w:rPr>
                <w:color w:val="000000"/>
                <w:kern w:val="0"/>
                <w:sz w:val="24"/>
              </w:rPr>
              <w:t>20</w:t>
            </w:r>
          </w:p>
        </w:tc>
        <w:tc>
          <w:tcPr>
            <w:tcW w:w="523" w:type="pct"/>
            <w:tcBorders>
              <w:top w:val="nil"/>
            </w:tcBorders>
            <w:tcMar>
              <w:left w:w="64" w:type="dxa"/>
              <w:right w:w="64" w:type="dxa"/>
            </w:tcMar>
            <w:vAlign w:val="center"/>
          </w:tcPr>
          <w:p w14:paraId="1F6C7F75" w14:textId="4A5EAF91" w:rsidR="00B54714" w:rsidRPr="00743FF1" w:rsidRDefault="00B54714" w:rsidP="00743FF1">
            <w:pPr>
              <w:widowControl/>
              <w:ind w:firstLineChars="0" w:firstLine="0"/>
              <w:jc w:val="center"/>
              <w:rPr>
                <w:kern w:val="0"/>
                <w:sz w:val="24"/>
              </w:rPr>
            </w:pPr>
            <w:r>
              <w:rPr>
                <w:rFonts w:hint="eastAsia"/>
                <w:color w:val="000000"/>
                <w:kern w:val="0"/>
                <w:sz w:val="24"/>
              </w:rPr>
              <w:t>150</w:t>
            </w:r>
          </w:p>
        </w:tc>
        <w:tc>
          <w:tcPr>
            <w:tcW w:w="373" w:type="pct"/>
            <w:tcBorders>
              <w:top w:val="nil"/>
            </w:tcBorders>
            <w:tcMar>
              <w:left w:w="64" w:type="dxa"/>
              <w:right w:w="64" w:type="dxa"/>
            </w:tcMar>
            <w:vAlign w:val="center"/>
          </w:tcPr>
          <w:p w14:paraId="20625E02" w14:textId="0BE8DEDC" w:rsidR="00B54714" w:rsidRPr="00743FF1" w:rsidRDefault="00B54714" w:rsidP="00743FF1">
            <w:pPr>
              <w:widowControl/>
              <w:ind w:firstLineChars="0" w:firstLine="0"/>
              <w:jc w:val="center"/>
              <w:rPr>
                <w:kern w:val="0"/>
                <w:sz w:val="24"/>
              </w:rPr>
            </w:pPr>
            <w:r>
              <w:rPr>
                <w:rFonts w:hint="eastAsia"/>
                <w:color w:val="000000"/>
                <w:kern w:val="0"/>
                <w:sz w:val="24"/>
              </w:rPr>
              <w:t>100</w:t>
            </w:r>
          </w:p>
        </w:tc>
        <w:tc>
          <w:tcPr>
            <w:tcW w:w="447" w:type="pct"/>
            <w:tcBorders>
              <w:top w:val="nil"/>
            </w:tcBorders>
            <w:tcMar>
              <w:left w:w="64" w:type="dxa"/>
              <w:right w:w="64" w:type="dxa"/>
            </w:tcMar>
            <w:vAlign w:val="center"/>
          </w:tcPr>
          <w:p w14:paraId="78BD3689" w14:textId="5B3AE31D" w:rsidR="00B54714" w:rsidRPr="00743FF1" w:rsidRDefault="00B54714" w:rsidP="00743FF1">
            <w:pPr>
              <w:widowControl/>
              <w:ind w:firstLineChars="0" w:firstLine="0"/>
              <w:jc w:val="center"/>
              <w:rPr>
                <w:kern w:val="0"/>
                <w:sz w:val="24"/>
              </w:rPr>
            </w:pPr>
            <w:r w:rsidRPr="00743FF1">
              <w:rPr>
                <w:color w:val="000000"/>
                <w:kern w:val="0"/>
                <w:sz w:val="24"/>
              </w:rPr>
              <w:t>-</w:t>
            </w:r>
          </w:p>
        </w:tc>
        <w:tc>
          <w:tcPr>
            <w:tcW w:w="671" w:type="pct"/>
            <w:vAlign w:val="center"/>
          </w:tcPr>
          <w:p w14:paraId="7F2E25E1" w14:textId="2B4548BC" w:rsidR="00B54714" w:rsidRPr="00743FF1" w:rsidRDefault="00B54714" w:rsidP="00B54714">
            <w:pPr>
              <w:widowControl/>
              <w:ind w:firstLineChars="0" w:firstLine="0"/>
              <w:jc w:val="center"/>
              <w:rPr>
                <w:color w:val="000000"/>
                <w:kern w:val="0"/>
                <w:sz w:val="24"/>
              </w:rPr>
            </w:pPr>
            <w:r>
              <w:rPr>
                <w:rFonts w:hint="eastAsia"/>
                <w:color w:val="000000"/>
                <w:kern w:val="0"/>
                <w:sz w:val="24"/>
              </w:rPr>
              <w:t>-</w:t>
            </w:r>
          </w:p>
        </w:tc>
      </w:tr>
      <w:tr w:rsidR="00B54714" w:rsidRPr="00743FF1" w14:paraId="47572BDB" w14:textId="28703049" w:rsidTr="00652937">
        <w:trPr>
          <w:trHeight w:val="220"/>
        </w:trPr>
        <w:tc>
          <w:tcPr>
            <w:tcW w:w="597" w:type="pct"/>
            <w:tcBorders>
              <w:bottom w:val="nil"/>
            </w:tcBorders>
            <w:tcMar>
              <w:left w:w="64" w:type="dxa"/>
              <w:right w:w="64" w:type="dxa"/>
            </w:tcMar>
            <w:vAlign w:val="center"/>
          </w:tcPr>
          <w:p w14:paraId="325E4F19" w14:textId="1823F4A6" w:rsidR="00B54714" w:rsidRPr="00743FF1" w:rsidRDefault="00B54714" w:rsidP="00743FF1">
            <w:pPr>
              <w:widowControl/>
              <w:ind w:firstLineChars="0" w:firstLine="0"/>
              <w:jc w:val="center"/>
              <w:rPr>
                <w:color w:val="000000"/>
                <w:kern w:val="0"/>
                <w:sz w:val="24"/>
              </w:rPr>
            </w:pPr>
            <w:r>
              <w:rPr>
                <w:rFonts w:hint="eastAsia"/>
                <w:color w:val="000000"/>
                <w:kern w:val="0"/>
                <w:sz w:val="24"/>
              </w:rPr>
              <w:t>天津市</w:t>
            </w:r>
            <w:r w:rsidR="003E60FC">
              <w:rPr>
                <w:rFonts w:hint="eastAsia"/>
                <w:color w:val="000000"/>
                <w:kern w:val="0"/>
                <w:sz w:val="24"/>
                <w:vertAlign w:val="superscript"/>
              </w:rPr>
              <w:t>c</w:t>
            </w:r>
          </w:p>
        </w:tc>
        <w:tc>
          <w:tcPr>
            <w:tcW w:w="673" w:type="pct"/>
            <w:tcBorders>
              <w:bottom w:val="nil"/>
            </w:tcBorders>
            <w:tcMar>
              <w:left w:w="64" w:type="dxa"/>
              <w:right w:w="64" w:type="dxa"/>
            </w:tcMar>
            <w:vAlign w:val="center"/>
          </w:tcPr>
          <w:p w14:paraId="670D415B" w14:textId="76D6BD06" w:rsidR="00B54714" w:rsidRPr="00743FF1" w:rsidRDefault="00B54714" w:rsidP="00743FF1">
            <w:pPr>
              <w:widowControl/>
              <w:ind w:firstLineChars="0" w:firstLine="0"/>
              <w:jc w:val="center"/>
              <w:rPr>
                <w:color w:val="000000"/>
                <w:kern w:val="0"/>
                <w:sz w:val="24"/>
              </w:rPr>
            </w:pPr>
            <w:r>
              <w:rPr>
                <w:rFonts w:hint="eastAsia"/>
                <w:color w:val="000000"/>
                <w:kern w:val="0"/>
                <w:sz w:val="24"/>
              </w:rPr>
              <w:t>DB12/765-2018</w:t>
            </w:r>
          </w:p>
        </w:tc>
        <w:tc>
          <w:tcPr>
            <w:tcW w:w="743" w:type="pct"/>
            <w:tcBorders>
              <w:bottom w:val="nil"/>
            </w:tcBorders>
            <w:tcMar>
              <w:left w:w="64" w:type="dxa"/>
              <w:right w:w="64" w:type="dxa"/>
            </w:tcMar>
            <w:vAlign w:val="center"/>
          </w:tcPr>
          <w:p w14:paraId="029120A5" w14:textId="27B7C9B7" w:rsidR="00B54714" w:rsidRPr="00743FF1" w:rsidRDefault="00B54714" w:rsidP="00743FF1">
            <w:pPr>
              <w:widowControl/>
              <w:ind w:firstLineChars="0" w:firstLine="0"/>
              <w:jc w:val="center"/>
              <w:rPr>
                <w:color w:val="000000"/>
                <w:kern w:val="0"/>
                <w:sz w:val="24"/>
              </w:rPr>
            </w:pPr>
            <w:r w:rsidRPr="00743FF1">
              <w:rPr>
                <w:color w:val="000000"/>
                <w:kern w:val="0"/>
                <w:sz w:val="24"/>
              </w:rPr>
              <w:t>在用</w:t>
            </w:r>
            <w:r w:rsidR="00A6506D">
              <w:rPr>
                <w:rFonts w:hint="eastAsia"/>
                <w:color w:val="000000"/>
                <w:kern w:val="0"/>
                <w:sz w:val="24"/>
              </w:rPr>
              <w:t>和</w:t>
            </w:r>
            <w:r>
              <w:rPr>
                <w:rFonts w:hint="eastAsia"/>
                <w:color w:val="000000"/>
                <w:kern w:val="0"/>
                <w:sz w:val="24"/>
              </w:rPr>
              <w:t>新建</w:t>
            </w:r>
          </w:p>
        </w:tc>
        <w:tc>
          <w:tcPr>
            <w:tcW w:w="525" w:type="pct"/>
            <w:tcBorders>
              <w:bottom w:val="nil"/>
            </w:tcBorders>
            <w:tcMar>
              <w:left w:w="64" w:type="dxa"/>
              <w:right w:w="64" w:type="dxa"/>
            </w:tcMar>
            <w:vAlign w:val="center"/>
          </w:tcPr>
          <w:p w14:paraId="149E1297" w14:textId="63FD0F7B" w:rsidR="00B54714" w:rsidRDefault="00B54714" w:rsidP="00743FF1">
            <w:pPr>
              <w:widowControl/>
              <w:ind w:firstLineChars="0" w:firstLine="0"/>
              <w:jc w:val="center"/>
              <w:rPr>
                <w:color w:val="000000"/>
                <w:kern w:val="0"/>
                <w:sz w:val="24"/>
              </w:rPr>
            </w:pPr>
            <w:r>
              <w:rPr>
                <w:rFonts w:hint="eastAsia"/>
                <w:color w:val="000000"/>
                <w:kern w:val="0"/>
                <w:sz w:val="24"/>
              </w:rPr>
              <w:t>20</w:t>
            </w:r>
          </w:p>
        </w:tc>
        <w:tc>
          <w:tcPr>
            <w:tcW w:w="448" w:type="pct"/>
            <w:tcBorders>
              <w:bottom w:val="nil"/>
            </w:tcBorders>
            <w:tcMar>
              <w:left w:w="64" w:type="dxa"/>
              <w:right w:w="64" w:type="dxa"/>
            </w:tcMar>
            <w:vAlign w:val="center"/>
          </w:tcPr>
          <w:p w14:paraId="0F3BEAA0" w14:textId="24810C5B" w:rsidR="00B54714" w:rsidRPr="00743FF1" w:rsidRDefault="00B54714" w:rsidP="00743FF1">
            <w:pPr>
              <w:widowControl/>
              <w:ind w:firstLineChars="0" w:firstLine="0"/>
              <w:jc w:val="center"/>
              <w:rPr>
                <w:color w:val="000000"/>
                <w:kern w:val="0"/>
                <w:sz w:val="24"/>
              </w:rPr>
            </w:pPr>
            <w:r>
              <w:rPr>
                <w:rFonts w:hint="eastAsia"/>
                <w:color w:val="000000"/>
                <w:kern w:val="0"/>
                <w:sz w:val="24"/>
              </w:rPr>
              <w:t>30</w:t>
            </w:r>
          </w:p>
        </w:tc>
        <w:tc>
          <w:tcPr>
            <w:tcW w:w="523" w:type="pct"/>
            <w:tcBorders>
              <w:bottom w:val="nil"/>
            </w:tcBorders>
            <w:tcMar>
              <w:left w:w="64" w:type="dxa"/>
              <w:right w:w="64" w:type="dxa"/>
            </w:tcMar>
            <w:vAlign w:val="center"/>
          </w:tcPr>
          <w:p w14:paraId="08A4B659" w14:textId="7C886AF5" w:rsidR="00B54714" w:rsidRDefault="00B54714" w:rsidP="00743FF1">
            <w:pPr>
              <w:widowControl/>
              <w:ind w:firstLineChars="0" w:firstLine="0"/>
              <w:jc w:val="center"/>
              <w:rPr>
                <w:color w:val="000000"/>
                <w:kern w:val="0"/>
                <w:sz w:val="24"/>
              </w:rPr>
            </w:pPr>
            <w:r>
              <w:rPr>
                <w:rFonts w:hint="eastAsia"/>
                <w:color w:val="000000"/>
                <w:kern w:val="0"/>
                <w:sz w:val="24"/>
              </w:rPr>
              <w:t>150</w:t>
            </w:r>
          </w:p>
        </w:tc>
        <w:tc>
          <w:tcPr>
            <w:tcW w:w="373" w:type="pct"/>
            <w:tcBorders>
              <w:bottom w:val="nil"/>
            </w:tcBorders>
            <w:tcMar>
              <w:left w:w="64" w:type="dxa"/>
              <w:right w:w="64" w:type="dxa"/>
            </w:tcMar>
            <w:vAlign w:val="center"/>
          </w:tcPr>
          <w:p w14:paraId="31F42CFB" w14:textId="4C804CEE" w:rsidR="00B54714" w:rsidRDefault="00B54714" w:rsidP="00743FF1">
            <w:pPr>
              <w:widowControl/>
              <w:ind w:firstLineChars="0" w:firstLine="0"/>
              <w:jc w:val="center"/>
              <w:rPr>
                <w:color w:val="000000"/>
                <w:kern w:val="0"/>
                <w:sz w:val="24"/>
              </w:rPr>
            </w:pPr>
            <w:r>
              <w:rPr>
                <w:rFonts w:hint="eastAsia"/>
                <w:color w:val="000000"/>
                <w:kern w:val="0"/>
                <w:sz w:val="24"/>
              </w:rPr>
              <w:t>200</w:t>
            </w:r>
          </w:p>
        </w:tc>
        <w:tc>
          <w:tcPr>
            <w:tcW w:w="447" w:type="pct"/>
            <w:tcBorders>
              <w:bottom w:val="nil"/>
            </w:tcBorders>
            <w:tcMar>
              <w:left w:w="64" w:type="dxa"/>
              <w:right w:w="64" w:type="dxa"/>
            </w:tcMar>
            <w:vAlign w:val="center"/>
          </w:tcPr>
          <w:p w14:paraId="7F6E58F2" w14:textId="601E5779" w:rsidR="00B54714" w:rsidRPr="00743FF1" w:rsidRDefault="00B54714" w:rsidP="00743FF1">
            <w:pPr>
              <w:widowControl/>
              <w:ind w:firstLineChars="0" w:firstLine="0"/>
              <w:jc w:val="center"/>
              <w:rPr>
                <w:color w:val="000000"/>
                <w:kern w:val="0"/>
                <w:sz w:val="24"/>
              </w:rPr>
            </w:pPr>
            <w:r w:rsidRPr="00743FF1">
              <w:rPr>
                <w:color w:val="000000"/>
                <w:kern w:val="0"/>
                <w:sz w:val="24"/>
              </w:rPr>
              <w:t>0.05</w:t>
            </w:r>
          </w:p>
        </w:tc>
        <w:tc>
          <w:tcPr>
            <w:tcW w:w="671" w:type="pct"/>
            <w:vAlign w:val="center"/>
          </w:tcPr>
          <w:p w14:paraId="72F92A9F" w14:textId="2BE1C0AD" w:rsidR="00B54714" w:rsidRPr="00743FF1" w:rsidRDefault="003E60FC" w:rsidP="00B54714">
            <w:pPr>
              <w:widowControl/>
              <w:ind w:firstLineChars="0" w:firstLine="0"/>
              <w:jc w:val="center"/>
              <w:rPr>
                <w:color w:val="000000"/>
                <w:kern w:val="0"/>
                <w:sz w:val="24"/>
              </w:rPr>
            </w:pPr>
            <w:r>
              <w:rPr>
                <w:rFonts w:hint="eastAsia"/>
                <w:color w:val="000000"/>
                <w:kern w:val="0"/>
                <w:sz w:val="24"/>
              </w:rPr>
              <w:t>-</w:t>
            </w:r>
          </w:p>
        </w:tc>
      </w:tr>
      <w:tr w:rsidR="00B54714" w:rsidRPr="00743FF1" w14:paraId="22BC2BE6" w14:textId="5BE50840" w:rsidTr="00251FDC">
        <w:trPr>
          <w:trHeight w:val="420"/>
        </w:trPr>
        <w:tc>
          <w:tcPr>
            <w:tcW w:w="597" w:type="pct"/>
            <w:tcBorders>
              <w:top w:val="nil"/>
              <w:bottom w:val="nil"/>
            </w:tcBorders>
            <w:tcMar>
              <w:left w:w="64" w:type="dxa"/>
              <w:right w:w="64" w:type="dxa"/>
            </w:tcMar>
            <w:vAlign w:val="center"/>
          </w:tcPr>
          <w:p w14:paraId="4066AF6F" w14:textId="77777777" w:rsidR="00B54714" w:rsidRPr="00743FF1" w:rsidRDefault="00B54714" w:rsidP="00743FF1">
            <w:pPr>
              <w:widowControl/>
              <w:ind w:firstLineChars="0" w:firstLine="0"/>
              <w:jc w:val="center"/>
              <w:rPr>
                <w:kern w:val="0"/>
                <w:sz w:val="24"/>
              </w:rPr>
            </w:pPr>
            <w:r w:rsidRPr="00743FF1">
              <w:rPr>
                <w:color w:val="000000"/>
                <w:kern w:val="0"/>
                <w:sz w:val="24"/>
              </w:rPr>
              <w:t>河南省</w:t>
            </w:r>
          </w:p>
        </w:tc>
        <w:tc>
          <w:tcPr>
            <w:tcW w:w="673" w:type="pct"/>
            <w:tcBorders>
              <w:top w:val="nil"/>
              <w:bottom w:val="nil"/>
            </w:tcBorders>
            <w:tcMar>
              <w:left w:w="64" w:type="dxa"/>
              <w:right w:w="64" w:type="dxa"/>
            </w:tcMar>
            <w:vAlign w:val="center"/>
          </w:tcPr>
          <w:p w14:paraId="3E651ADA" w14:textId="77777777" w:rsidR="00B54714" w:rsidRPr="00743FF1" w:rsidRDefault="00B54714" w:rsidP="00743FF1">
            <w:pPr>
              <w:widowControl/>
              <w:ind w:firstLineChars="0" w:firstLine="0"/>
              <w:jc w:val="center"/>
              <w:rPr>
                <w:kern w:val="0"/>
                <w:sz w:val="24"/>
              </w:rPr>
            </w:pPr>
            <w:r w:rsidRPr="00743FF1">
              <w:rPr>
                <w:color w:val="000000"/>
                <w:kern w:val="0"/>
                <w:sz w:val="24"/>
              </w:rPr>
              <w:t>DB41/2089-2021</w:t>
            </w:r>
          </w:p>
        </w:tc>
        <w:tc>
          <w:tcPr>
            <w:tcW w:w="743" w:type="pct"/>
            <w:tcBorders>
              <w:top w:val="nil"/>
              <w:bottom w:val="nil"/>
            </w:tcBorders>
            <w:tcMar>
              <w:left w:w="64" w:type="dxa"/>
              <w:right w:w="64" w:type="dxa"/>
            </w:tcMar>
            <w:vAlign w:val="center"/>
          </w:tcPr>
          <w:p w14:paraId="47C3FBC1" w14:textId="00BD6B1F" w:rsidR="00B54714" w:rsidRPr="00743FF1" w:rsidRDefault="00B54714" w:rsidP="00743FF1">
            <w:pPr>
              <w:widowControl/>
              <w:ind w:firstLineChars="0" w:firstLine="0"/>
              <w:jc w:val="center"/>
              <w:rPr>
                <w:kern w:val="0"/>
                <w:sz w:val="24"/>
              </w:rPr>
            </w:pPr>
            <w:r w:rsidRPr="00743FF1">
              <w:rPr>
                <w:color w:val="000000"/>
                <w:kern w:val="0"/>
                <w:sz w:val="24"/>
              </w:rPr>
              <w:t>在用</w:t>
            </w:r>
            <w:r w:rsidR="00A6506D">
              <w:rPr>
                <w:rFonts w:hint="eastAsia"/>
                <w:color w:val="000000"/>
                <w:kern w:val="0"/>
                <w:sz w:val="24"/>
              </w:rPr>
              <w:t>和</w:t>
            </w:r>
            <w:r>
              <w:rPr>
                <w:rFonts w:hint="eastAsia"/>
                <w:color w:val="000000"/>
                <w:kern w:val="0"/>
                <w:sz w:val="24"/>
              </w:rPr>
              <w:t>新建</w:t>
            </w:r>
          </w:p>
        </w:tc>
        <w:tc>
          <w:tcPr>
            <w:tcW w:w="525" w:type="pct"/>
            <w:tcBorders>
              <w:top w:val="nil"/>
              <w:bottom w:val="nil"/>
            </w:tcBorders>
            <w:tcMar>
              <w:left w:w="64" w:type="dxa"/>
              <w:right w:w="64" w:type="dxa"/>
            </w:tcMar>
            <w:vAlign w:val="center"/>
          </w:tcPr>
          <w:p w14:paraId="449DFDCB" w14:textId="77777777" w:rsidR="00B54714" w:rsidRPr="00743FF1" w:rsidRDefault="00B54714" w:rsidP="00743FF1">
            <w:pPr>
              <w:widowControl/>
              <w:ind w:firstLineChars="0" w:firstLine="0"/>
              <w:jc w:val="center"/>
              <w:rPr>
                <w:kern w:val="0"/>
                <w:sz w:val="24"/>
              </w:rPr>
            </w:pPr>
            <w:r w:rsidRPr="00743FF1">
              <w:rPr>
                <w:color w:val="000000"/>
                <w:kern w:val="0"/>
                <w:sz w:val="24"/>
              </w:rPr>
              <w:t>10</w:t>
            </w:r>
          </w:p>
        </w:tc>
        <w:tc>
          <w:tcPr>
            <w:tcW w:w="448" w:type="pct"/>
            <w:tcBorders>
              <w:top w:val="nil"/>
              <w:bottom w:val="nil"/>
            </w:tcBorders>
            <w:tcMar>
              <w:left w:w="64" w:type="dxa"/>
              <w:right w:w="64" w:type="dxa"/>
            </w:tcMar>
            <w:vAlign w:val="center"/>
          </w:tcPr>
          <w:p w14:paraId="7C1E370C" w14:textId="77777777" w:rsidR="00B54714" w:rsidRPr="00743FF1" w:rsidRDefault="00B54714" w:rsidP="00743FF1">
            <w:pPr>
              <w:widowControl/>
              <w:ind w:firstLineChars="0" w:firstLine="0"/>
              <w:jc w:val="center"/>
              <w:rPr>
                <w:kern w:val="0"/>
                <w:sz w:val="24"/>
              </w:rPr>
            </w:pPr>
            <w:r w:rsidRPr="00743FF1">
              <w:rPr>
                <w:color w:val="000000"/>
                <w:kern w:val="0"/>
                <w:sz w:val="24"/>
              </w:rPr>
              <w:t>35</w:t>
            </w:r>
          </w:p>
        </w:tc>
        <w:tc>
          <w:tcPr>
            <w:tcW w:w="523" w:type="pct"/>
            <w:tcBorders>
              <w:top w:val="nil"/>
              <w:bottom w:val="nil"/>
            </w:tcBorders>
            <w:tcMar>
              <w:left w:w="64" w:type="dxa"/>
              <w:right w:w="64" w:type="dxa"/>
            </w:tcMar>
            <w:vAlign w:val="center"/>
          </w:tcPr>
          <w:p w14:paraId="2E32D38D" w14:textId="77777777" w:rsidR="00B54714" w:rsidRPr="00743FF1" w:rsidRDefault="00B54714" w:rsidP="00743FF1">
            <w:pPr>
              <w:widowControl/>
              <w:ind w:firstLineChars="0" w:firstLine="0"/>
              <w:jc w:val="center"/>
              <w:rPr>
                <w:kern w:val="0"/>
                <w:sz w:val="24"/>
              </w:rPr>
            </w:pPr>
            <w:r w:rsidRPr="00743FF1">
              <w:rPr>
                <w:color w:val="000000"/>
                <w:kern w:val="0"/>
                <w:sz w:val="24"/>
              </w:rPr>
              <w:t>50</w:t>
            </w:r>
          </w:p>
        </w:tc>
        <w:tc>
          <w:tcPr>
            <w:tcW w:w="373" w:type="pct"/>
            <w:tcBorders>
              <w:top w:val="nil"/>
              <w:bottom w:val="nil"/>
            </w:tcBorders>
            <w:tcMar>
              <w:left w:w="64" w:type="dxa"/>
              <w:right w:w="64" w:type="dxa"/>
            </w:tcMar>
            <w:vAlign w:val="center"/>
          </w:tcPr>
          <w:p w14:paraId="6EEA9C5D" w14:textId="0DCB1F88" w:rsidR="00B54714" w:rsidRPr="00743FF1" w:rsidRDefault="00B54714" w:rsidP="00743FF1">
            <w:pPr>
              <w:widowControl/>
              <w:ind w:firstLineChars="0" w:firstLine="0"/>
              <w:jc w:val="center"/>
              <w:rPr>
                <w:kern w:val="0"/>
                <w:sz w:val="24"/>
              </w:rPr>
            </w:pPr>
            <w:r w:rsidRPr="00743FF1">
              <w:rPr>
                <w:color w:val="000000"/>
                <w:kern w:val="0"/>
                <w:sz w:val="24"/>
              </w:rPr>
              <w:t>-</w:t>
            </w:r>
          </w:p>
        </w:tc>
        <w:tc>
          <w:tcPr>
            <w:tcW w:w="447" w:type="pct"/>
            <w:tcBorders>
              <w:top w:val="nil"/>
              <w:bottom w:val="nil"/>
            </w:tcBorders>
            <w:tcMar>
              <w:left w:w="64" w:type="dxa"/>
              <w:right w:w="64" w:type="dxa"/>
            </w:tcMar>
            <w:vAlign w:val="center"/>
          </w:tcPr>
          <w:p w14:paraId="397D9B50" w14:textId="322CD3FA" w:rsidR="00B54714" w:rsidRPr="00743FF1" w:rsidRDefault="00B54714" w:rsidP="00743FF1">
            <w:pPr>
              <w:widowControl/>
              <w:ind w:firstLineChars="0" w:firstLine="0"/>
              <w:jc w:val="center"/>
              <w:rPr>
                <w:kern w:val="0"/>
                <w:sz w:val="24"/>
              </w:rPr>
            </w:pPr>
            <w:r w:rsidRPr="00743FF1">
              <w:rPr>
                <w:color w:val="000000"/>
                <w:kern w:val="0"/>
                <w:sz w:val="24"/>
              </w:rPr>
              <w:t>-</w:t>
            </w:r>
          </w:p>
        </w:tc>
        <w:tc>
          <w:tcPr>
            <w:tcW w:w="671" w:type="pct"/>
            <w:vAlign w:val="center"/>
          </w:tcPr>
          <w:p w14:paraId="7C7A6E11" w14:textId="18BF5149" w:rsidR="00B54714" w:rsidRPr="00743FF1" w:rsidRDefault="00B54714" w:rsidP="00B54714">
            <w:pPr>
              <w:widowControl/>
              <w:ind w:firstLineChars="0" w:firstLine="0"/>
              <w:jc w:val="center"/>
              <w:rPr>
                <w:color w:val="000000"/>
                <w:kern w:val="0"/>
                <w:sz w:val="24"/>
              </w:rPr>
            </w:pPr>
            <w:r>
              <w:rPr>
                <w:rFonts w:hint="eastAsia"/>
                <w:color w:val="000000"/>
                <w:kern w:val="0"/>
                <w:sz w:val="24"/>
              </w:rPr>
              <w:t>8</w:t>
            </w:r>
            <w:r w:rsidR="003E60FC">
              <w:rPr>
                <w:rFonts w:hint="eastAsia"/>
                <w:color w:val="000000"/>
                <w:kern w:val="0"/>
                <w:sz w:val="24"/>
                <w:vertAlign w:val="superscript"/>
              </w:rPr>
              <w:t>d</w:t>
            </w:r>
          </w:p>
        </w:tc>
      </w:tr>
      <w:tr w:rsidR="00533225" w:rsidRPr="00743FF1" w14:paraId="0C5AE481" w14:textId="7FDD74D0" w:rsidTr="00084192">
        <w:trPr>
          <w:trHeight w:val="300"/>
        </w:trPr>
        <w:tc>
          <w:tcPr>
            <w:tcW w:w="597" w:type="pct"/>
            <w:vMerge w:val="restart"/>
            <w:tcBorders>
              <w:top w:val="nil"/>
              <w:bottom w:val="nil"/>
            </w:tcBorders>
            <w:tcMar>
              <w:left w:w="64" w:type="dxa"/>
              <w:right w:w="64" w:type="dxa"/>
            </w:tcMar>
            <w:vAlign w:val="center"/>
          </w:tcPr>
          <w:p w14:paraId="27ECD63F" w14:textId="12F021F0" w:rsidR="00533225" w:rsidRPr="00743FF1" w:rsidRDefault="00533225" w:rsidP="00743FF1">
            <w:pPr>
              <w:widowControl/>
              <w:ind w:firstLineChars="0" w:firstLine="0"/>
              <w:jc w:val="center"/>
              <w:rPr>
                <w:kern w:val="0"/>
                <w:sz w:val="24"/>
              </w:rPr>
            </w:pPr>
            <w:r w:rsidRPr="00743FF1">
              <w:rPr>
                <w:color w:val="000000"/>
                <w:kern w:val="0"/>
                <w:sz w:val="24"/>
              </w:rPr>
              <w:t>广东省</w:t>
            </w:r>
            <w:r>
              <w:rPr>
                <w:rFonts w:hint="eastAsia"/>
                <w:color w:val="000000"/>
                <w:kern w:val="0"/>
                <w:sz w:val="24"/>
                <w:vertAlign w:val="superscript"/>
              </w:rPr>
              <w:t>e</w:t>
            </w:r>
          </w:p>
        </w:tc>
        <w:tc>
          <w:tcPr>
            <w:tcW w:w="673" w:type="pct"/>
            <w:vMerge w:val="restart"/>
            <w:tcBorders>
              <w:top w:val="nil"/>
              <w:bottom w:val="nil"/>
            </w:tcBorders>
            <w:tcMar>
              <w:left w:w="64" w:type="dxa"/>
              <w:right w:w="64" w:type="dxa"/>
            </w:tcMar>
            <w:vAlign w:val="center"/>
          </w:tcPr>
          <w:p w14:paraId="43E3F180" w14:textId="77777777" w:rsidR="00533225" w:rsidRPr="00743FF1" w:rsidRDefault="00533225" w:rsidP="00743FF1">
            <w:pPr>
              <w:widowControl/>
              <w:ind w:firstLineChars="0" w:firstLine="0"/>
              <w:jc w:val="center"/>
              <w:rPr>
                <w:kern w:val="0"/>
                <w:sz w:val="24"/>
              </w:rPr>
            </w:pPr>
            <w:r w:rsidRPr="00743FF1">
              <w:rPr>
                <w:color w:val="000000"/>
                <w:kern w:val="0"/>
                <w:sz w:val="24"/>
              </w:rPr>
              <w:t>DB44/765-2019</w:t>
            </w:r>
          </w:p>
        </w:tc>
        <w:tc>
          <w:tcPr>
            <w:tcW w:w="743" w:type="pct"/>
            <w:tcBorders>
              <w:top w:val="nil"/>
              <w:bottom w:val="nil"/>
            </w:tcBorders>
            <w:tcMar>
              <w:left w:w="64" w:type="dxa"/>
              <w:right w:w="64" w:type="dxa"/>
            </w:tcMar>
            <w:vAlign w:val="center"/>
          </w:tcPr>
          <w:p w14:paraId="1AB48156" w14:textId="1EACE8BA" w:rsidR="00533225" w:rsidRPr="003E60FC" w:rsidRDefault="00533225" w:rsidP="003E60FC">
            <w:pPr>
              <w:widowControl/>
              <w:ind w:firstLineChars="0" w:firstLine="0"/>
              <w:jc w:val="center"/>
              <w:rPr>
                <w:color w:val="000000"/>
                <w:kern w:val="0"/>
                <w:sz w:val="24"/>
              </w:rPr>
            </w:pPr>
            <w:r w:rsidRPr="00743FF1">
              <w:rPr>
                <w:color w:val="000000"/>
                <w:kern w:val="0"/>
                <w:sz w:val="24"/>
              </w:rPr>
              <w:t>在用</w:t>
            </w:r>
            <w:r>
              <w:rPr>
                <w:rFonts w:hint="eastAsia"/>
                <w:color w:val="000000"/>
                <w:kern w:val="0"/>
                <w:sz w:val="24"/>
              </w:rPr>
              <w:t>和新建</w:t>
            </w:r>
          </w:p>
        </w:tc>
        <w:tc>
          <w:tcPr>
            <w:tcW w:w="525" w:type="pct"/>
            <w:tcBorders>
              <w:top w:val="nil"/>
              <w:bottom w:val="nil"/>
            </w:tcBorders>
            <w:tcMar>
              <w:left w:w="64" w:type="dxa"/>
              <w:right w:w="64" w:type="dxa"/>
            </w:tcMar>
            <w:vAlign w:val="center"/>
          </w:tcPr>
          <w:p w14:paraId="19D27ECF" w14:textId="77777777" w:rsidR="00533225" w:rsidRPr="00743FF1" w:rsidRDefault="00533225" w:rsidP="00743FF1">
            <w:pPr>
              <w:widowControl/>
              <w:ind w:firstLineChars="0" w:firstLine="0"/>
              <w:jc w:val="center"/>
              <w:rPr>
                <w:kern w:val="0"/>
                <w:sz w:val="24"/>
              </w:rPr>
            </w:pPr>
            <w:r w:rsidRPr="00743FF1">
              <w:rPr>
                <w:color w:val="000000"/>
                <w:kern w:val="0"/>
                <w:sz w:val="24"/>
              </w:rPr>
              <w:t>20</w:t>
            </w:r>
          </w:p>
        </w:tc>
        <w:tc>
          <w:tcPr>
            <w:tcW w:w="448" w:type="pct"/>
            <w:vMerge w:val="restart"/>
            <w:tcBorders>
              <w:top w:val="nil"/>
            </w:tcBorders>
            <w:tcMar>
              <w:left w:w="64" w:type="dxa"/>
              <w:right w:w="64" w:type="dxa"/>
            </w:tcMar>
            <w:vAlign w:val="center"/>
          </w:tcPr>
          <w:p w14:paraId="3B579860" w14:textId="27F26E63" w:rsidR="00533225" w:rsidRPr="00743FF1" w:rsidRDefault="00533225" w:rsidP="00743FF1">
            <w:pPr>
              <w:widowControl/>
              <w:ind w:firstLineChars="0" w:firstLine="0"/>
              <w:jc w:val="center"/>
              <w:rPr>
                <w:kern w:val="0"/>
                <w:sz w:val="24"/>
              </w:rPr>
            </w:pPr>
            <w:r w:rsidRPr="00743FF1">
              <w:rPr>
                <w:color w:val="000000"/>
                <w:kern w:val="0"/>
                <w:sz w:val="24"/>
              </w:rPr>
              <w:t>35</w:t>
            </w:r>
          </w:p>
        </w:tc>
        <w:tc>
          <w:tcPr>
            <w:tcW w:w="523" w:type="pct"/>
            <w:tcBorders>
              <w:top w:val="nil"/>
              <w:bottom w:val="nil"/>
            </w:tcBorders>
            <w:tcMar>
              <w:left w:w="64" w:type="dxa"/>
              <w:right w:w="64" w:type="dxa"/>
            </w:tcMar>
            <w:vAlign w:val="center"/>
          </w:tcPr>
          <w:p w14:paraId="2A7D782A" w14:textId="6422D92D" w:rsidR="00533225" w:rsidRPr="00743FF1" w:rsidRDefault="00533225" w:rsidP="00743FF1">
            <w:pPr>
              <w:widowControl/>
              <w:ind w:firstLineChars="0" w:firstLine="0"/>
              <w:jc w:val="center"/>
              <w:rPr>
                <w:kern w:val="0"/>
                <w:sz w:val="24"/>
              </w:rPr>
            </w:pPr>
            <w:r w:rsidRPr="00743FF1">
              <w:rPr>
                <w:color w:val="000000"/>
                <w:kern w:val="0"/>
                <w:sz w:val="24"/>
              </w:rPr>
              <w:t>150</w:t>
            </w:r>
          </w:p>
        </w:tc>
        <w:tc>
          <w:tcPr>
            <w:tcW w:w="373" w:type="pct"/>
            <w:vMerge w:val="restart"/>
            <w:tcBorders>
              <w:top w:val="nil"/>
            </w:tcBorders>
            <w:tcMar>
              <w:left w:w="64" w:type="dxa"/>
              <w:right w:w="64" w:type="dxa"/>
            </w:tcMar>
            <w:vAlign w:val="center"/>
          </w:tcPr>
          <w:p w14:paraId="2A779C34" w14:textId="77777777" w:rsidR="00533225" w:rsidRPr="00743FF1" w:rsidRDefault="00533225" w:rsidP="00743FF1">
            <w:pPr>
              <w:widowControl/>
              <w:ind w:firstLineChars="0" w:firstLine="0"/>
              <w:jc w:val="center"/>
              <w:rPr>
                <w:kern w:val="0"/>
                <w:sz w:val="24"/>
              </w:rPr>
            </w:pPr>
            <w:r w:rsidRPr="00743FF1">
              <w:rPr>
                <w:color w:val="000000"/>
                <w:kern w:val="0"/>
                <w:sz w:val="24"/>
              </w:rPr>
              <w:t>200</w:t>
            </w:r>
          </w:p>
        </w:tc>
        <w:tc>
          <w:tcPr>
            <w:tcW w:w="447" w:type="pct"/>
            <w:vMerge w:val="restart"/>
            <w:tcBorders>
              <w:top w:val="nil"/>
            </w:tcBorders>
            <w:tcMar>
              <w:left w:w="64" w:type="dxa"/>
              <w:right w:w="64" w:type="dxa"/>
            </w:tcMar>
            <w:vAlign w:val="center"/>
          </w:tcPr>
          <w:p w14:paraId="49B05287" w14:textId="7C003BCA" w:rsidR="00533225" w:rsidRPr="00743FF1" w:rsidRDefault="00533225" w:rsidP="00533225">
            <w:pPr>
              <w:ind w:firstLineChars="0" w:firstLine="0"/>
              <w:jc w:val="center"/>
              <w:rPr>
                <w:kern w:val="0"/>
                <w:sz w:val="24"/>
              </w:rPr>
            </w:pPr>
            <w:r w:rsidRPr="00743FF1">
              <w:rPr>
                <w:color w:val="000000"/>
                <w:kern w:val="0"/>
                <w:sz w:val="24"/>
              </w:rPr>
              <w:t>-</w:t>
            </w:r>
          </w:p>
        </w:tc>
        <w:tc>
          <w:tcPr>
            <w:tcW w:w="671" w:type="pct"/>
            <w:vMerge w:val="restart"/>
            <w:vAlign w:val="center"/>
          </w:tcPr>
          <w:p w14:paraId="6DD74C77" w14:textId="78FF55CF" w:rsidR="00533225" w:rsidRPr="00743FF1" w:rsidRDefault="00533225" w:rsidP="00B54714">
            <w:pPr>
              <w:widowControl/>
              <w:ind w:firstLineChars="0" w:firstLine="0"/>
              <w:jc w:val="center"/>
              <w:rPr>
                <w:color w:val="000000"/>
                <w:kern w:val="0"/>
                <w:sz w:val="24"/>
              </w:rPr>
            </w:pPr>
            <w:r>
              <w:rPr>
                <w:rFonts w:hint="eastAsia"/>
                <w:color w:val="000000"/>
                <w:kern w:val="0"/>
                <w:sz w:val="24"/>
              </w:rPr>
              <w:t>-</w:t>
            </w:r>
          </w:p>
        </w:tc>
      </w:tr>
      <w:tr w:rsidR="00533225" w:rsidRPr="00743FF1" w14:paraId="3B6E40AF" w14:textId="779D69A3" w:rsidTr="00084192">
        <w:trPr>
          <w:trHeight w:val="260"/>
        </w:trPr>
        <w:tc>
          <w:tcPr>
            <w:tcW w:w="597" w:type="pct"/>
            <w:vMerge/>
            <w:tcBorders>
              <w:top w:val="nil"/>
              <w:bottom w:val="nil"/>
            </w:tcBorders>
            <w:tcMar>
              <w:left w:w="64" w:type="dxa"/>
              <w:right w:w="64" w:type="dxa"/>
            </w:tcMar>
            <w:vAlign w:val="center"/>
          </w:tcPr>
          <w:p w14:paraId="15FCEC14" w14:textId="77777777" w:rsidR="00533225" w:rsidRPr="00743FF1" w:rsidRDefault="00533225" w:rsidP="00743FF1">
            <w:pPr>
              <w:ind w:firstLineChars="0" w:firstLine="0"/>
              <w:rPr>
                <w:sz w:val="24"/>
              </w:rPr>
            </w:pPr>
          </w:p>
        </w:tc>
        <w:tc>
          <w:tcPr>
            <w:tcW w:w="673" w:type="pct"/>
            <w:vMerge/>
            <w:tcBorders>
              <w:top w:val="nil"/>
              <w:bottom w:val="nil"/>
            </w:tcBorders>
            <w:tcMar>
              <w:left w:w="64" w:type="dxa"/>
              <w:right w:w="64" w:type="dxa"/>
            </w:tcMar>
            <w:vAlign w:val="center"/>
          </w:tcPr>
          <w:p w14:paraId="22F96C1F" w14:textId="77777777" w:rsidR="00533225" w:rsidRPr="00743FF1" w:rsidRDefault="00533225" w:rsidP="00743FF1">
            <w:pPr>
              <w:ind w:firstLineChars="0" w:firstLine="0"/>
              <w:rPr>
                <w:sz w:val="24"/>
              </w:rPr>
            </w:pPr>
          </w:p>
        </w:tc>
        <w:tc>
          <w:tcPr>
            <w:tcW w:w="743" w:type="pct"/>
            <w:tcBorders>
              <w:top w:val="nil"/>
              <w:bottom w:val="nil"/>
            </w:tcBorders>
            <w:tcMar>
              <w:left w:w="64" w:type="dxa"/>
              <w:right w:w="64" w:type="dxa"/>
            </w:tcMar>
            <w:vAlign w:val="center"/>
          </w:tcPr>
          <w:p w14:paraId="55B5A538" w14:textId="5FC90906" w:rsidR="00533225" w:rsidRPr="00743FF1" w:rsidRDefault="00533225" w:rsidP="00743FF1">
            <w:pPr>
              <w:widowControl/>
              <w:ind w:firstLineChars="0" w:firstLine="0"/>
              <w:jc w:val="center"/>
              <w:rPr>
                <w:kern w:val="0"/>
                <w:sz w:val="24"/>
              </w:rPr>
            </w:pPr>
            <w:r>
              <w:rPr>
                <w:rFonts w:hint="eastAsia"/>
                <w:kern w:val="0"/>
                <w:sz w:val="24"/>
              </w:rPr>
              <w:t>特别</w:t>
            </w:r>
            <w:r w:rsidR="00590F0C">
              <w:rPr>
                <w:rFonts w:hint="eastAsia"/>
                <w:kern w:val="0"/>
                <w:sz w:val="24"/>
              </w:rPr>
              <w:t>地区</w:t>
            </w:r>
          </w:p>
        </w:tc>
        <w:tc>
          <w:tcPr>
            <w:tcW w:w="525" w:type="pct"/>
            <w:tcBorders>
              <w:top w:val="nil"/>
              <w:bottom w:val="nil"/>
            </w:tcBorders>
            <w:tcMar>
              <w:left w:w="64" w:type="dxa"/>
              <w:right w:w="64" w:type="dxa"/>
            </w:tcMar>
            <w:vAlign w:val="center"/>
          </w:tcPr>
          <w:p w14:paraId="34904BE2" w14:textId="4628AB5D" w:rsidR="00533225" w:rsidRPr="00743FF1" w:rsidRDefault="00533225" w:rsidP="00743FF1">
            <w:pPr>
              <w:widowControl/>
              <w:ind w:firstLineChars="0" w:firstLine="0"/>
              <w:jc w:val="center"/>
              <w:rPr>
                <w:kern w:val="0"/>
                <w:sz w:val="24"/>
              </w:rPr>
            </w:pPr>
            <w:r>
              <w:rPr>
                <w:rFonts w:hint="eastAsia"/>
                <w:color w:val="000000"/>
                <w:kern w:val="0"/>
                <w:sz w:val="24"/>
              </w:rPr>
              <w:t>10</w:t>
            </w:r>
          </w:p>
        </w:tc>
        <w:tc>
          <w:tcPr>
            <w:tcW w:w="448" w:type="pct"/>
            <w:vMerge/>
            <w:tcBorders>
              <w:bottom w:val="nil"/>
            </w:tcBorders>
            <w:tcMar>
              <w:left w:w="64" w:type="dxa"/>
              <w:right w:w="64" w:type="dxa"/>
            </w:tcMar>
            <w:vAlign w:val="center"/>
          </w:tcPr>
          <w:p w14:paraId="1EBBDE37" w14:textId="180FF115" w:rsidR="00533225" w:rsidRPr="00743FF1" w:rsidRDefault="00533225" w:rsidP="00743FF1">
            <w:pPr>
              <w:widowControl/>
              <w:ind w:firstLineChars="0" w:firstLine="0"/>
              <w:jc w:val="center"/>
              <w:rPr>
                <w:kern w:val="0"/>
                <w:sz w:val="24"/>
              </w:rPr>
            </w:pPr>
          </w:p>
        </w:tc>
        <w:tc>
          <w:tcPr>
            <w:tcW w:w="523" w:type="pct"/>
            <w:tcBorders>
              <w:top w:val="nil"/>
              <w:bottom w:val="nil"/>
            </w:tcBorders>
            <w:tcMar>
              <w:left w:w="64" w:type="dxa"/>
              <w:right w:w="64" w:type="dxa"/>
            </w:tcMar>
            <w:vAlign w:val="center"/>
          </w:tcPr>
          <w:p w14:paraId="2848B7E7" w14:textId="7E3E2F89" w:rsidR="00533225" w:rsidRPr="00743FF1" w:rsidRDefault="00533225" w:rsidP="00743FF1">
            <w:pPr>
              <w:widowControl/>
              <w:ind w:firstLineChars="0" w:firstLine="0"/>
              <w:jc w:val="center"/>
              <w:rPr>
                <w:kern w:val="0"/>
                <w:sz w:val="24"/>
              </w:rPr>
            </w:pPr>
            <w:r>
              <w:rPr>
                <w:rFonts w:hint="eastAsia"/>
                <w:color w:val="000000"/>
                <w:kern w:val="0"/>
                <w:sz w:val="24"/>
              </w:rPr>
              <w:t>50</w:t>
            </w:r>
          </w:p>
        </w:tc>
        <w:tc>
          <w:tcPr>
            <w:tcW w:w="373" w:type="pct"/>
            <w:vMerge/>
            <w:tcBorders>
              <w:bottom w:val="nil"/>
            </w:tcBorders>
            <w:tcMar>
              <w:left w:w="64" w:type="dxa"/>
              <w:right w:w="64" w:type="dxa"/>
            </w:tcMar>
            <w:vAlign w:val="center"/>
          </w:tcPr>
          <w:p w14:paraId="08C3DD2E" w14:textId="22D6EE7B" w:rsidR="00533225" w:rsidRPr="00743FF1" w:rsidRDefault="00533225" w:rsidP="00743FF1">
            <w:pPr>
              <w:widowControl/>
              <w:ind w:firstLineChars="0" w:firstLine="0"/>
              <w:jc w:val="center"/>
              <w:rPr>
                <w:kern w:val="0"/>
                <w:sz w:val="24"/>
              </w:rPr>
            </w:pPr>
          </w:p>
        </w:tc>
        <w:tc>
          <w:tcPr>
            <w:tcW w:w="447" w:type="pct"/>
            <w:vMerge/>
            <w:tcBorders>
              <w:bottom w:val="nil"/>
            </w:tcBorders>
            <w:tcMar>
              <w:left w:w="64" w:type="dxa"/>
              <w:right w:w="64" w:type="dxa"/>
            </w:tcMar>
            <w:vAlign w:val="center"/>
          </w:tcPr>
          <w:p w14:paraId="5D08F365" w14:textId="733CBBDE" w:rsidR="00533225" w:rsidRPr="00743FF1" w:rsidRDefault="00533225" w:rsidP="00743FF1">
            <w:pPr>
              <w:widowControl/>
              <w:ind w:firstLineChars="0" w:firstLine="0"/>
              <w:jc w:val="center"/>
              <w:rPr>
                <w:kern w:val="0"/>
                <w:sz w:val="24"/>
              </w:rPr>
            </w:pPr>
          </w:p>
        </w:tc>
        <w:tc>
          <w:tcPr>
            <w:tcW w:w="671" w:type="pct"/>
            <w:vMerge/>
            <w:vAlign w:val="center"/>
          </w:tcPr>
          <w:p w14:paraId="6CEA8E85" w14:textId="427AA9AD" w:rsidR="00533225" w:rsidRPr="00743FF1" w:rsidRDefault="00533225" w:rsidP="00B54714">
            <w:pPr>
              <w:widowControl/>
              <w:ind w:firstLineChars="0" w:firstLine="0"/>
              <w:jc w:val="center"/>
              <w:rPr>
                <w:color w:val="000000"/>
                <w:kern w:val="0"/>
                <w:sz w:val="24"/>
              </w:rPr>
            </w:pPr>
          </w:p>
        </w:tc>
      </w:tr>
      <w:tr w:rsidR="003E60FC" w:rsidRPr="00743FF1" w14:paraId="2D45B405" w14:textId="7D6A6B57" w:rsidTr="00251FDC">
        <w:trPr>
          <w:trHeight w:val="240"/>
        </w:trPr>
        <w:tc>
          <w:tcPr>
            <w:tcW w:w="597" w:type="pct"/>
            <w:vMerge w:val="restart"/>
            <w:tcBorders>
              <w:top w:val="nil"/>
              <w:bottom w:val="nil"/>
            </w:tcBorders>
            <w:tcMar>
              <w:left w:w="64" w:type="dxa"/>
              <w:right w:w="64" w:type="dxa"/>
            </w:tcMar>
            <w:vAlign w:val="center"/>
          </w:tcPr>
          <w:p w14:paraId="0FB44EFF" w14:textId="77777777" w:rsidR="003E60FC" w:rsidRPr="00743FF1" w:rsidRDefault="003E60FC" w:rsidP="00743FF1">
            <w:pPr>
              <w:widowControl/>
              <w:ind w:firstLineChars="0" w:firstLine="0"/>
              <w:jc w:val="center"/>
              <w:rPr>
                <w:kern w:val="0"/>
                <w:sz w:val="24"/>
              </w:rPr>
            </w:pPr>
            <w:r w:rsidRPr="00743FF1">
              <w:rPr>
                <w:color w:val="000000"/>
                <w:kern w:val="0"/>
                <w:sz w:val="24"/>
              </w:rPr>
              <w:t>陕西省</w:t>
            </w:r>
          </w:p>
        </w:tc>
        <w:tc>
          <w:tcPr>
            <w:tcW w:w="673" w:type="pct"/>
            <w:vMerge w:val="restart"/>
            <w:tcBorders>
              <w:top w:val="nil"/>
              <w:bottom w:val="nil"/>
            </w:tcBorders>
            <w:tcMar>
              <w:left w:w="64" w:type="dxa"/>
              <w:right w:w="64" w:type="dxa"/>
            </w:tcMar>
            <w:vAlign w:val="center"/>
          </w:tcPr>
          <w:p w14:paraId="134742D0" w14:textId="77777777" w:rsidR="003E60FC" w:rsidRPr="00743FF1" w:rsidRDefault="003E60FC" w:rsidP="00743FF1">
            <w:pPr>
              <w:widowControl/>
              <w:ind w:firstLineChars="0" w:firstLine="0"/>
              <w:jc w:val="center"/>
              <w:rPr>
                <w:kern w:val="0"/>
                <w:sz w:val="24"/>
              </w:rPr>
            </w:pPr>
            <w:r w:rsidRPr="00743FF1">
              <w:rPr>
                <w:color w:val="000000"/>
                <w:kern w:val="0"/>
                <w:sz w:val="24"/>
              </w:rPr>
              <w:t>DB61/1226-2018</w:t>
            </w:r>
          </w:p>
        </w:tc>
        <w:tc>
          <w:tcPr>
            <w:tcW w:w="743" w:type="pct"/>
            <w:tcBorders>
              <w:top w:val="nil"/>
              <w:bottom w:val="nil"/>
            </w:tcBorders>
            <w:tcMar>
              <w:left w:w="64" w:type="dxa"/>
              <w:right w:w="64" w:type="dxa"/>
            </w:tcMar>
            <w:vAlign w:val="center"/>
          </w:tcPr>
          <w:p w14:paraId="2FDAE58D" w14:textId="10C2B604" w:rsidR="003E60FC" w:rsidRPr="00743FF1" w:rsidRDefault="003E60FC" w:rsidP="00743FF1">
            <w:pPr>
              <w:widowControl/>
              <w:ind w:firstLineChars="0" w:firstLine="0"/>
              <w:jc w:val="center"/>
              <w:rPr>
                <w:kern w:val="0"/>
                <w:sz w:val="24"/>
              </w:rPr>
            </w:pPr>
            <w:r>
              <w:rPr>
                <w:rFonts w:hint="eastAsia"/>
                <w:color w:val="000000"/>
                <w:kern w:val="0"/>
                <w:sz w:val="24"/>
              </w:rPr>
              <w:t>城市</w:t>
            </w:r>
            <w:r w:rsidRPr="00743FF1">
              <w:rPr>
                <w:color w:val="000000"/>
                <w:kern w:val="0"/>
                <w:sz w:val="24"/>
              </w:rPr>
              <w:t>建成区</w:t>
            </w:r>
          </w:p>
        </w:tc>
        <w:tc>
          <w:tcPr>
            <w:tcW w:w="525" w:type="pct"/>
            <w:tcBorders>
              <w:top w:val="nil"/>
              <w:bottom w:val="nil"/>
            </w:tcBorders>
            <w:tcMar>
              <w:left w:w="64" w:type="dxa"/>
              <w:right w:w="64" w:type="dxa"/>
            </w:tcMar>
            <w:vAlign w:val="center"/>
          </w:tcPr>
          <w:p w14:paraId="7BA530B4" w14:textId="77777777" w:rsidR="003E60FC" w:rsidRPr="00743FF1" w:rsidRDefault="003E60FC" w:rsidP="00743FF1">
            <w:pPr>
              <w:widowControl/>
              <w:ind w:firstLineChars="0" w:firstLine="0"/>
              <w:jc w:val="center"/>
              <w:rPr>
                <w:kern w:val="0"/>
                <w:sz w:val="24"/>
              </w:rPr>
            </w:pPr>
            <w:r w:rsidRPr="00743FF1">
              <w:rPr>
                <w:color w:val="000000"/>
                <w:kern w:val="0"/>
                <w:sz w:val="24"/>
              </w:rPr>
              <w:t>10</w:t>
            </w:r>
          </w:p>
        </w:tc>
        <w:tc>
          <w:tcPr>
            <w:tcW w:w="448" w:type="pct"/>
            <w:tcBorders>
              <w:top w:val="nil"/>
              <w:bottom w:val="nil"/>
            </w:tcBorders>
            <w:tcMar>
              <w:left w:w="64" w:type="dxa"/>
              <w:right w:w="64" w:type="dxa"/>
            </w:tcMar>
            <w:vAlign w:val="center"/>
          </w:tcPr>
          <w:p w14:paraId="0B4A6B78" w14:textId="2B50F9EB" w:rsidR="003E60FC" w:rsidRPr="00743FF1" w:rsidRDefault="003E60FC" w:rsidP="00743FF1">
            <w:pPr>
              <w:widowControl/>
              <w:ind w:firstLineChars="0" w:firstLine="0"/>
              <w:jc w:val="center"/>
              <w:rPr>
                <w:kern w:val="0"/>
                <w:sz w:val="24"/>
              </w:rPr>
            </w:pPr>
            <w:r>
              <w:rPr>
                <w:rFonts w:hint="eastAsia"/>
                <w:color w:val="000000"/>
                <w:kern w:val="0"/>
                <w:sz w:val="24"/>
              </w:rPr>
              <w:t>20</w:t>
            </w:r>
          </w:p>
        </w:tc>
        <w:tc>
          <w:tcPr>
            <w:tcW w:w="523" w:type="pct"/>
            <w:tcBorders>
              <w:top w:val="nil"/>
              <w:bottom w:val="nil"/>
            </w:tcBorders>
            <w:tcMar>
              <w:left w:w="64" w:type="dxa"/>
              <w:right w:w="64" w:type="dxa"/>
            </w:tcMar>
            <w:vAlign w:val="center"/>
          </w:tcPr>
          <w:p w14:paraId="41099AA8" w14:textId="7E29F82E" w:rsidR="003E60FC" w:rsidRPr="00743FF1" w:rsidRDefault="003E60FC" w:rsidP="00743FF1">
            <w:pPr>
              <w:widowControl/>
              <w:ind w:firstLineChars="0" w:firstLine="0"/>
              <w:jc w:val="center"/>
              <w:rPr>
                <w:kern w:val="0"/>
                <w:sz w:val="24"/>
              </w:rPr>
            </w:pPr>
            <w:r>
              <w:rPr>
                <w:rFonts w:hint="eastAsia"/>
                <w:color w:val="000000"/>
                <w:kern w:val="0"/>
                <w:sz w:val="24"/>
              </w:rPr>
              <w:t>100</w:t>
            </w:r>
          </w:p>
        </w:tc>
        <w:tc>
          <w:tcPr>
            <w:tcW w:w="373" w:type="pct"/>
            <w:vMerge w:val="restart"/>
            <w:tcBorders>
              <w:top w:val="nil"/>
              <w:bottom w:val="nil"/>
            </w:tcBorders>
            <w:tcMar>
              <w:left w:w="64" w:type="dxa"/>
              <w:right w:w="64" w:type="dxa"/>
            </w:tcMar>
            <w:vAlign w:val="center"/>
          </w:tcPr>
          <w:p w14:paraId="287F047C" w14:textId="022D8D90" w:rsidR="003E60FC" w:rsidRPr="00743FF1" w:rsidRDefault="003E60FC" w:rsidP="00743FF1">
            <w:pPr>
              <w:widowControl/>
              <w:ind w:firstLineChars="0" w:firstLine="0"/>
              <w:jc w:val="center"/>
              <w:rPr>
                <w:kern w:val="0"/>
                <w:sz w:val="24"/>
              </w:rPr>
            </w:pPr>
            <w:r w:rsidRPr="00743FF1">
              <w:rPr>
                <w:color w:val="000000"/>
                <w:kern w:val="0"/>
                <w:sz w:val="24"/>
              </w:rPr>
              <w:t>-</w:t>
            </w:r>
          </w:p>
        </w:tc>
        <w:tc>
          <w:tcPr>
            <w:tcW w:w="447" w:type="pct"/>
            <w:vMerge w:val="restart"/>
            <w:tcBorders>
              <w:top w:val="nil"/>
              <w:bottom w:val="nil"/>
            </w:tcBorders>
            <w:tcMar>
              <w:left w:w="64" w:type="dxa"/>
              <w:right w:w="64" w:type="dxa"/>
            </w:tcMar>
            <w:vAlign w:val="center"/>
          </w:tcPr>
          <w:p w14:paraId="2BDBE0A4" w14:textId="1ED0954D" w:rsidR="003E60FC" w:rsidRPr="00743FF1" w:rsidRDefault="003E60FC" w:rsidP="00743FF1">
            <w:pPr>
              <w:widowControl/>
              <w:ind w:firstLineChars="0" w:firstLine="0"/>
              <w:jc w:val="center"/>
              <w:rPr>
                <w:kern w:val="0"/>
                <w:sz w:val="24"/>
              </w:rPr>
            </w:pPr>
            <w:r w:rsidRPr="00743FF1">
              <w:rPr>
                <w:color w:val="000000"/>
                <w:kern w:val="0"/>
                <w:sz w:val="24"/>
              </w:rPr>
              <w:t>-</w:t>
            </w:r>
          </w:p>
        </w:tc>
        <w:tc>
          <w:tcPr>
            <w:tcW w:w="671" w:type="pct"/>
            <w:vMerge w:val="restart"/>
            <w:vAlign w:val="center"/>
          </w:tcPr>
          <w:p w14:paraId="76A4DF83" w14:textId="5C906E3B" w:rsidR="003E60FC" w:rsidRPr="00743FF1" w:rsidRDefault="003E60FC" w:rsidP="00B54714">
            <w:pPr>
              <w:widowControl/>
              <w:ind w:firstLineChars="0" w:firstLine="0"/>
              <w:jc w:val="center"/>
              <w:rPr>
                <w:color w:val="000000"/>
                <w:kern w:val="0"/>
                <w:sz w:val="24"/>
              </w:rPr>
            </w:pPr>
            <w:r>
              <w:rPr>
                <w:rFonts w:hint="eastAsia"/>
                <w:color w:val="000000"/>
                <w:kern w:val="0"/>
                <w:sz w:val="24"/>
              </w:rPr>
              <w:t>-</w:t>
            </w:r>
          </w:p>
        </w:tc>
      </w:tr>
      <w:tr w:rsidR="003E60FC" w:rsidRPr="00743FF1" w14:paraId="5281388A" w14:textId="2E1FAEFC" w:rsidTr="00251FDC">
        <w:trPr>
          <w:trHeight w:val="280"/>
        </w:trPr>
        <w:tc>
          <w:tcPr>
            <w:tcW w:w="597" w:type="pct"/>
            <w:vMerge/>
            <w:tcBorders>
              <w:top w:val="nil"/>
              <w:bottom w:val="nil"/>
            </w:tcBorders>
            <w:tcMar>
              <w:left w:w="64" w:type="dxa"/>
              <w:right w:w="64" w:type="dxa"/>
            </w:tcMar>
            <w:vAlign w:val="center"/>
          </w:tcPr>
          <w:p w14:paraId="6617DF62" w14:textId="77777777" w:rsidR="003E60FC" w:rsidRPr="00743FF1" w:rsidRDefault="003E60FC" w:rsidP="00743FF1">
            <w:pPr>
              <w:ind w:firstLineChars="0" w:firstLine="0"/>
              <w:rPr>
                <w:sz w:val="24"/>
              </w:rPr>
            </w:pPr>
          </w:p>
        </w:tc>
        <w:tc>
          <w:tcPr>
            <w:tcW w:w="673" w:type="pct"/>
            <w:vMerge/>
            <w:tcBorders>
              <w:top w:val="nil"/>
              <w:bottom w:val="nil"/>
            </w:tcBorders>
            <w:tcMar>
              <w:left w:w="64" w:type="dxa"/>
              <w:right w:w="64" w:type="dxa"/>
            </w:tcMar>
            <w:vAlign w:val="center"/>
          </w:tcPr>
          <w:p w14:paraId="3CE19BF4" w14:textId="77777777" w:rsidR="003E60FC" w:rsidRPr="00743FF1" w:rsidRDefault="003E60FC" w:rsidP="00743FF1">
            <w:pPr>
              <w:ind w:firstLineChars="0" w:firstLine="0"/>
              <w:rPr>
                <w:sz w:val="24"/>
              </w:rPr>
            </w:pPr>
          </w:p>
        </w:tc>
        <w:tc>
          <w:tcPr>
            <w:tcW w:w="743" w:type="pct"/>
            <w:tcBorders>
              <w:top w:val="nil"/>
              <w:bottom w:val="nil"/>
            </w:tcBorders>
            <w:tcMar>
              <w:left w:w="64" w:type="dxa"/>
              <w:right w:w="64" w:type="dxa"/>
            </w:tcMar>
            <w:vAlign w:val="center"/>
          </w:tcPr>
          <w:p w14:paraId="3628A1F4" w14:textId="0D2F553E" w:rsidR="003E60FC" w:rsidRPr="00743FF1" w:rsidRDefault="003E60FC" w:rsidP="00743FF1">
            <w:pPr>
              <w:widowControl/>
              <w:ind w:firstLineChars="0" w:firstLine="0"/>
              <w:jc w:val="center"/>
              <w:rPr>
                <w:kern w:val="0"/>
                <w:sz w:val="24"/>
              </w:rPr>
            </w:pPr>
            <w:r w:rsidRPr="00743FF1">
              <w:rPr>
                <w:color w:val="000000"/>
                <w:kern w:val="0"/>
                <w:sz w:val="24"/>
              </w:rPr>
              <w:t>其他</w:t>
            </w:r>
            <w:r>
              <w:rPr>
                <w:rFonts w:hint="eastAsia"/>
                <w:color w:val="000000"/>
                <w:kern w:val="0"/>
                <w:sz w:val="24"/>
              </w:rPr>
              <w:t>地区</w:t>
            </w:r>
          </w:p>
        </w:tc>
        <w:tc>
          <w:tcPr>
            <w:tcW w:w="525" w:type="pct"/>
            <w:tcBorders>
              <w:top w:val="nil"/>
              <w:bottom w:val="nil"/>
            </w:tcBorders>
            <w:tcMar>
              <w:left w:w="64" w:type="dxa"/>
              <w:right w:w="64" w:type="dxa"/>
            </w:tcMar>
            <w:vAlign w:val="center"/>
          </w:tcPr>
          <w:p w14:paraId="4FD9DDF7" w14:textId="77777777" w:rsidR="003E60FC" w:rsidRPr="00743FF1" w:rsidRDefault="003E60FC" w:rsidP="00743FF1">
            <w:pPr>
              <w:widowControl/>
              <w:ind w:firstLineChars="0" w:firstLine="0"/>
              <w:jc w:val="center"/>
              <w:rPr>
                <w:kern w:val="0"/>
                <w:sz w:val="24"/>
              </w:rPr>
            </w:pPr>
            <w:r w:rsidRPr="00743FF1">
              <w:rPr>
                <w:color w:val="000000"/>
                <w:kern w:val="0"/>
                <w:sz w:val="24"/>
              </w:rPr>
              <w:t>20</w:t>
            </w:r>
          </w:p>
        </w:tc>
        <w:tc>
          <w:tcPr>
            <w:tcW w:w="448" w:type="pct"/>
            <w:tcBorders>
              <w:top w:val="nil"/>
              <w:bottom w:val="nil"/>
            </w:tcBorders>
            <w:tcMar>
              <w:left w:w="64" w:type="dxa"/>
              <w:right w:w="64" w:type="dxa"/>
            </w:tcMar>
            <w:vAlign w:val="center"/>
          </w:tcPr>
          <w:p w14:paraId="74251BC7" w14:textId="77777777" w:rsidR="003E60FC" w:rsidRPr="00743FF1" w:rsidRDefault="003E60FC" w:rsidP="00743FF1">
            <w:pPr>
              <w:widowControl/>
              <w:ind w:firstLineChars="0" w:firstLine="0"/>
              <w:jc w:val="center"/>
              <w:rPr>
                <w:kern w:val="0"/>
                <w:sz w:val="24"/>
              </w:rPr>
            </w:pPr>
            <w:r w:rsidRPr="00743FF1">
              <w:rPr>
                <w:color w:val="000000"/>
                <w:kern w:val="0"/>
                <w:sz w:val="24"/>
              </w:rPr>
              <w:t>35</w:t>
            </w:r>
          </w:p>
        </w:tc>
        <w:tc>
          <w:tcPr>
            <w:tcW w:w="523" w:type="pct"/>
            <w:tcBorders>
              <w:top w:val="nil"/>
              <w:bottom w:val="nil"/>
            </w:tcBorders>
            <w:tcMar>
              <w:left w:w="64" w:type="dxa"/>
              <w:right w:w="64" w:type="dxa"/>
            </w:tcMar>
            <w:vAlign w:val="center"/>
          </w:tcPr>
          <w:p w14:paraId="4EA79355" w14:textId="77777777" w:rsidR="003E60FC" w:rsidRPr="00743FF1" w:rsidRDefault="003E60FC" w:rsidP="00743FF1">
            <w:pPr>
              <w:widowControl/>
              <w:ind w:firstLineChars="0" w:firstLine="0"/>
              <w:jc w:val="center"/>
              <w:rPr>
                <w:kern w:val="0"/>
                <w:sz w:val="24"/>
              </w:rPr>
            </w:pPr>
            <w:r w:rsidRPr="00743FF1">
              <w:rPr>
                <w:color w:val="000000"/>
                <w:kern w:val="0"/>
                <w:sz w:val="24"/>
              </w:rPr>
              <w:t>150</w:t>
            </w:r>
          </w:p>
        </w:tc>
        <w:tc>
          <w:tcPr>
            <w:tcW w:w="373" w:type="pct"/>
            <w:vMerge/>
            <w:tcBorders>
              <w:top w:val="nil"/>
              <w:bottom w:val="nil"/>
            </w:tcBorders>
            <w:tcMar>
              <w:left w:w="64" w:type="dxa"/>
              <w:right w:w="64" w:type="dxa"/>
            </w:tcMar>
            <w:vAlign w:val="center"/>
          </w:tcPr>
          <w:p w14:paraId="0DCC0F68" w14:textId="77777777" w:rsidR="003E60FC" w:rsidRPr="00743FF1" w:rsidRDefault="003E60FC" w:rsidP="00743FF1">
            <w:pPr>
              <w:ind w:firstLineChars="0" w:firstLine="0"/>
              <w:rPr>
                <w:sz w:val="24"/>
              </w:rPr>
            </w:pPr>
          </w:p>
        </w:tc>
        <w:tc>
          <w:tcPr>
            <w:tcW w:w="447" w:type="pct"/>
            <w:vMerge/>
            <w:tcBorders>
              <w:top w:val="nil"/>
              <w:bottom w:val="nil"/>
            </w:tcBorders>
            <w:tcMar>
              <w:left w:w="64" w:type="dxa"/>
              <w:right w:w="64" w:type="dxa"/>
            </w:tcMar>
            <w:vAlign w:val="center"/>
          </w:tcPr>
          <w:p w14:paraId="6877AEFE" w14:textId="77777777" w:rsidR="003E60FC" w:rsidRPr="00743FF1" w:rsidRDefault="003E60FC" w:rsidP="00743FF1">
            <w:pPr>
              <w:ind w:firstLineChars="0" w:firstLine="0"/>
              <w:rPr>
                <w:sz w:val="24"/>
              </w:rPr>
            </w:pPr>
          </w:p>
        </w:tc>
        <w:tc>
          <w:tcPr>
            <w:tcW w:w="671" w:type="pct"/>
            <w:vMerge/>
            <w:vAlign w:val="center"/>
          </w:tcPr>
          <w:p w14:paraId="1088BFE8" w14:textId="20C92852" w:rsidR="003E60FC" w:rsidRPr="00743FF1" w:rsidRDefault="003E60FC" w:rsidP="00B54714">
            <w:pPr>
              <w:ind w:firstLineChars="0" w:firstLine="0"/>
              <w:jc w:val="center"/>
              <w:rPr>
                <w:sz w:val="24"/>
              </w:rPr>
            </w:pPr>
          </w:p>
        </w:tc>
      </w:tr>
      <w:tr w:rsidR="00841576" w:rsidRPr="00743FF1" w14:paraId="266807B6" w14:textId="6936F042" w:rsidTr="00251FDC">
        <w:trPr>
          <w:trHeight w:val="260"/>
        </w:trPr>
        <w:tc>
          <w:tcPr>
            <w:tcW w:w="597" w:type="pct"/>
            <w:vMerge w:val="restart"/>
            <w:tcBorders>
              <w:top w:val="nil"/>
              <w:bottom w:val="nil"/>
            </w:tcBorders>
            <w:tcMar>
              <w:left w:w="64" w:type="dxa"/>
              <w:right w:w="64" w:type="dxa"/>
            </w:tcMar>
            <w:vAlign w:val="center"/>
          </w:tcPr>
          <w:p w14:paraId="4262E00C" w14:textId="77777777" w:rsidR="00841576" w:rsidRPr="00743FF1" w:rsidRDefault="00841576" w:rsidP="00743FF1">
            <w:pPr>
              <w:widowControl/>
              <w:ind w:firstLineChars="0" w:firstLine="0"/>
              <w:jc w:val="center"/>
              <w:rPr>
                <w:kern w:val="0"/>
                <w:sz w:val="24"/>
              </w:rPr>
            </w:pPr>
            <w:r w:rsidRPr="00743FF1">
              <w:rPr>
                <w:color w:val="000000"/>
                <w:kern w:val="0"/>
                <w:sz w:val="24"/>
              </w:rPr>
              <w:t>江苏省</w:t>
            </w:r>
          </w:p>
        </w:tc>
        <w:tc>
          <w:tcPr>
            <w:tcW w:w="673" w:type="pct"/>
            <w:vMerge w:val="restart"/>
            <w:tcBorders>
              <w:top w:val="nil"/>
              <w:bottom w:val="nil"/>
            </w:tcBorders>
            <w:tcMar>
              <w:left w:w="64" w:type="dxa"/>
              <w:right w:w="64" w:type="dxa"/>
            </w:tcMar>
            <w:vAlign w:val="center"/>
          </w:tcPr>
          <w:p w14:paraId="663A04FF" w14:textId="477BE0E5" w:rsidR="00841576" w:rsidRPr="00841576" w:rsidRDefault="00841576" w:rsidP="00841576">
            <w:pPr>
              <w:widowControl/>
              <w:ind w:firstLineChars="0" w:firstLine="0"/>
              <w:jc w:val="center"/>
              <w:rPr>
                <w:color w:val="000000"/>
                <w:kern w:val="0"/>
                <w:sz w:val="24"/>
              </w:rPr>
            </w:pPr>
            <w:r w:rsidRPr="00743FF1">
              <w:rPr>
                <w:color w:val="000000"/>
                <w:kern w:val="0"/>
                <w:sz w:val="24"/>
              </w:rPr>
              <w:t>DB32/4385-2022</w:t>
            </w:r>
          </w:p>
        </w:tc>
        <w:tc>
          <w:tcPr>
            <w:tcW w:w="743" w:type="pct"/>
            <w:tcBorders>
              <w:top w:val="nil"/>
              <w:bottom w:val="nil"/>
            </w:tcBorders>
            <w:tcMar>
              <w:left w:w="64" w:type="dxa"/>
              <w:right w:w="64" w:type="dxa"/>
            </w:tcMar>
            <w:vAlign w:val="center"/>
          </w:tcPr>
          <w:p w14:paraId="5ADEA644" w14:textId="1FE3461E" w:rsidR="00841576" w:rsidRPr="00743FF1" w:rsidRDefault="00841576" w:rsidP="00743FF1">
            <w:pPr>
              <w:widowControl/>
              <w:ind w:firstLineChars="0" w:firstLine="0"/>
              <w:jc w:val="center"/>
              <w:rPr>
                <w:kern w:val="0"/>
                <w:sz w:val="24"/>
              </w:rPr>
            </w:pPr>
            <w:r w:rsidRPr="00841576">
              <w:rPr>
                <w:color w:val="000000"/>
                <w:kern w:val="0"/>
                <w:sz w:val="24"/>
              </w:rPr>
              <w:t>城市建成区</w:t>
            </w:r>
          </w:p>
        </w:tc>
        <w:tc>
          <w:tcPr>
            <w:tcW w:w="525" w:type="pct"/>
            <w:tcBorders>
              <w:top w:val="nil"/>
              <w:bottom w:val="nil"/>
            </w:tcBorders>
            <w:tcMar>
              <w:left w:w="64" w:type="dxa"/>
              <w:right w:w="64" w:type="dxa"/>
            </w:tcMar>
            <w:vAlign w:val="center"/>
          </w:tcPr>
          <w:p w14:paraId="2A9D73AB" w14:textId="5A3D3E12" w:rsidR="00841576" w:rsidRPr="00743FF1" w:rsidRDefault="00841576" w:rsidP="00743FF1">
            <w:pPr>
              <w:widowControl/>
              <w:ind w:firstLineChars="0" w:firstLine="0"/>
              <w:jc w:val="center"/>
              <w:rPr>
                <w:kern w:val="0"/>
                <w:sz w:val="24"/>
              </w:rPr>
            </w:pPr>
            <w:r>
              <w:rPr>
                <w:rFonts w:hint="eastAsia"/>
                <w:color w:val="000000"/>
                <w:kern w:val="0"/>
                <w:sz w:val="24"/>
              </w:rPr>
              <w:t>10</w:t>
            </w:r>
          </w:p>
        </w:tc>
        <w:tc>
          <w:tcPr>
            <w:tcW w:w="448" w:type="pct"/>
            <w:tcBorders>
              <w:top w:val="nil"/>
              <w:bottom w:val="nil"/>
            </w:tcBorders>
            <w:tcMar>
              <w:left w:w="64" w:type="dxa"/>
              <w:right w:w="64" w:type="dxa"/>
            </w:tcMar>
            <w:vAlign w:val="center"/>
          </w:tcPr>
          <w:p w14:paraId="756B2F59" w14:textId="77777777" w:rsidR="00841576" w:rsidRPr="00743FF1" w:rsidRDefault="00841576" w:rsidP="00743FF1">
            <w:pPr>
              <w:widowControl/>
              <w:ind w:firstLineChars="0" w:firstLine="0"/>
              <w:jc w:val="center"/>
              <w:rPr>
                <w:kern w:val="0"/>
                <w:sz w:val="24"/>
              </w:rPr>
            </w:pPr>
            <w:r w:rsidRPr="00743FF1">
              <w:rPr>
                <w:color w:val="000000"/>
                <w:kern w:val="0"/>
                <w:sz w:val="24"/>
              </w:rPr>
              <w:t>35</w:t>
            </w:r>
          </w:p>
        </w:tc>
        <w:tc>
          <w:tcPr>
            <w:tcW w:w="523" w:type="pct"/>
            <w:tcBorders>
              <w:top w:val="nil"/>
              <w:bottom w:val="nil"/>
            </w:tcBorders>
            <w:tcMar>
              <w:left w:w="64" w:type="dxa"/>
              <w:right w:w="64" w:type="dxa"/>
            </w:tcMar>
            <w:vAlign w:val="center"/>
          </w:tcPr>
          <w:p w14:paraId="2C046D6F" w14:textId="77777777" w:rsidR="00841576" w:rsidRPr="00743FF1" w:rsidRDefault="00841576" w:rsidP="00743FF1">
            <w:pPr>
              <w:widowControl/>
              <w:ind w:firstLineChars="0" w:firstLine="0"/>
              <w:jc w:val="center"/>
              <w:rPr>
                <w:kern w:val="0"/>
                <w:sz w:val="24"/>
              </w:rPr>
            </w:pPr>
            <w:r w:rsidRPr="00743FF1">
              <w:rPr>
                <w:color w:val="000000"/>
                <w:kern w:val="0"/>
                <w:sz w:val="24"/>
              </w:rPr>
              <w:t>50</w:t>
            </w:r>
          </w:p>
        </w:tc>
        <w:tc>
          <w:tcPr>
            <w:tcW w:w="373" w:type="pct"/>
            <w:vMerge w:val="restart"/>
            <w:tcBorders>
              <w:top w:val="nil"/>
            </w:tcBorders>
            <w:tcMar>
              <w:left w:w="64" w:type="dxa"/>
              <w:right w:w="64" w:type="dxa"/>
            </w:tcMar>
            <w:vAlign w:val="center"/>
          </w:tcPr>
          <w:p w14:paraId="40E6F7CB" w14:textId="289C90AD" w:rsidR="00841576" w:rsidRPr="00743FF1" w:rsidRDefault="00841576" w:rsidP="00743FF1">
            <w:pPr>
              <w:widowControl/>
              <w:ind w:firstLineChars="0" w:firstLine="0"/>
              <w:jc w:val="center"/>
              <w:rPr>
                <w:kern w:val="0"/>
                <w:sz w:val="24"/>
              </w:rPr>
            </w:pPr>
            <w:r w:rsidRPr="00743FF1">
              <w:rPr>
                <w:color w:val="000000"/>
                <w:kern w:val="0"/>
                <w:sz w:val="24"/>
              </w:rPr>
              <w:t>-</w:t>
            </w:r>
          </w:p>
        </w:tc>
        <w:tc>
          <w:tcPr>
            <w:tcW w:w="447" w:type="pct"/>
            <w:vMerge w:val="restart"/>
            <w:tcBorders>
              <w:top w:val="nil"/>
            </w:tcBorders>
            <w:tcMar>
              <w:left w:w="64" w:type="dxa"/>
              <w:right w:w="64" w:type="dxa"/>
            </w:tcMar>
            <w:vAlign w:val="center"/>
          </w:tcPr>
          <w:p w14:paraId="77BCF09F" w14:textId="77777777" w:rsidR="00841576" w:rsidRPr="00743FF1" w:rsidRDefault="00841576" w:rsidP="00743FF1">
            <w:pPr>
              <w:widowControl/>
              <w:ind w:firstLineChars="0" w:firstLine="0"/>
              <w:jc w:val="center"/>
              <w:rPr>
                <w:kern w:val="0"/>
                <w:sz w:val="24"/>
              </w:rPr>
            </w:pPr>
            <w:r w:rsidRPr="00743FF1">
              <w:rPr>
                <w:color w:val="000000"/>
                <w:kern w:val="0"/>
                <w:sz w:val="24"/>
              </w:rPr>
              <w:t>0.03</w:t>
            </w:r>
          </w:p>
        </w:tc>
        <w:tc>
          <w:tcPr>
            <w:tcW w:w="671" w:type="pct"/>
            <w:vMerge w:val="restart"/>
            <w:vAlign w:val="center"/>
          </w:tcPr>
          <w:p w14:paraId="7BAC1107" w14:textId="564647ED" w:rsidR="00841576" w:rsidRPr="00743FF1" w:rsidRDefault="00841576" w:rsidP="00B54714">
            <w:pPr>
              <w:widowControl/>
              <w:ind w:firstLineChars="0" w:firstLine="0"/>
              <w:jc w:val="center"/>
              <w:rPr>
                <w:color w:val="000000"/>
                <w:kern w:val="0"/>
                <w:sz w:val="24"/>
              </w:rPr>
            </w:pPr>
            <w:r>
              <w:rPr>
                <w:rFonts w:hint="eastAsia"/>
                <w:color w:val="000000"/>
                <w:kern w:val="0"/>
                <w:sz w:val="24"/>
              </w:rPr>
              <w:t>8/2.28/3.8/3</w:t>
            </w:r>
            <w:r w:rsidRPr="00841576">
              <w:rPr>
                <w:rFonts w:hint="eastAsia"/>
                <w:color w:val="000000"/>
                <w:kern w:val="0"/>
                <w:sz w:val="24"/>
                <w:vertAlign w:val="superscript"/>
              </w:rPr>
              <w:t>f</w:t>
            </w:r>
          </w:p>
        </w:tc>
      </w:tr>
      <w:tr w:rsidR="00841576" w:rsidRPr="00743FF1" w14:paraId="6E6AC1D9" w14:textId="13163FD1" w:rsidTr="00251FDC">
        <w:trPr>
          <w:trHeight w:val="280"/>
        </w:trPr>
        <w:tc>
          <w:tcPr>
            <w:tcW w:w="597" w:type="pct"/>
            <w:vMerge/>
            <w:tcBorders>
              <w:top w:val="nil"/>
              <w:bottom w:val="nil"/>
            </w:tcBorders>
            <w:tcMar>
              <w:left w:w="64" w:type="dxa"/>
              <w:right w:w="64" w:type="dxa"/>
            </w:tcMar>
            <w:vAlign w:val="center"/>
          </w:tcPr>
          <w:p w14:paraId="7FFCA602" w14:textId="77777777" w:rsidR="00841576" w:rsidRPr="00743FF1" w:rsidRDefault="00841576" w:rsidP="00743FF1">
            <w:pPr>
              <w:ind w:firstLineChars="0" w:firstLine="0"/>
              <w:rPr>
                <w:sz w:val="24"/>
              </w:rPr>
            </w:pPr>
          </w:p>
        </w:tc>
        <w:tc>
          <w:tcPr>
            <w:tcW w:w="673" w:type="pct"/>
            <w:vMerge/>
            <w:tcBorders>
              <w:top w:val="nil"/>
              <w:bottom w:val="nil"/>
            </w:tcBorders>
            <w:tcMar>
              <w:left w:w="64" w:type="dxa"/>
              <w:right w:w="64" w:type="dxa"/>
            </w:tcMar>
            <w:vAlign w:val="center"/>
          </w:tcPr>
          <w:p w14:paraId="1A799337" w14:textId="77777777" w:rsidR="00841576" w:rsidRPr="00743FF1" w:rsidRDefault="00841576" w:rsidP="00743FF1">
            <w:pPr>
              <w:ind w:firstLineChars="0" w:firstLine="0"/>
              <w:rPr>
                <w:sz w:val="24"/>
              </w:rPr>
            </w:pPr>
          </w:p>
        </w:tc>
        <w:tc>
          <w:tcPr>
            <w:tcW w:w="743" w:type="pct"/>
            <w:tcBorders>
              <w:top w:val="nil"/>
              <w:bottom w:val="nil"/>
            </w:tcBorders>
            <w:tcMar>
              <w:left w:w="64" w:type="dxa"/>
              <w:right w:w="64" w:type="dxa"/>
            </w:tcMar>
            <w:vAlign w:val="center"/>
          </w:tcPr>
          <w:p w14:paraId="45115B74" w14:textId="77777777" w:rsidR="00841576" w:rsidRPr="00743FF1" w:rsidRDefault="00841576" w:rsidP="00743FF1">
            <w:pPr>
              <w:widowControl/>
              <w:ind w:firstLineChars="0" w:firstLine="0"/>
              <w:jc w:val="center"/>
              <w:rPr>
                <w:kern w:val="0"/>
                <w:sz w:val="24"/>
              </w:rPr>
            </w:pPr>
            <w:r w:rsidRPr="00743FF1">
              <w:rPr>
                <w:color w:val="000000"/>
                <w:kern w:val="0"/>
                <w:sz w:val="24"/>
              </w:rPr>
              <w:t>其他区域</w:t>
            </w:r>
          </w:p>
        </w:tc>
        <w:tc>
          <w:tcPr>
            <w:tcW w:w="525" w:type="pct"/>
            <w:tcBorders>
              <w:top w:val="nil"/>
              <w:bottom w:val="nil"/>
            </w:tcBorders>
            <w:tcMar>
              <w:left w:w="64" w:type="dxa"/>
              <w:right w:w="64" w:type="dxa"/>
            </w:tcMar>
            <w:vAlign w:val="center"/>
          </w:tcPr>
          <w:p w14:paraId="45EE4D01" w14:textId="1E87AE74" w:rsidR="00841576" w:rsidRPr="00743FF1" w:rsidRDefault="00841576" w:rsidP="00743FF1">
            <w:pPr>
              <w:widowControl/>
              <w:ind w:firstLineChars="0" w:firstLine="0"/>
              <w:jc w:val="center"/>
              <w:rPr>
                <w:kern w:val="0"/>
                <w:sz w:val="24"/>
              </w:rPr>
            </w:pPr>
            <w:r>
              <w:rPr>
                <w:rFonts w:hint="eastAsia"/>
                <w:color w:val="000000"/>
                <w:kern w:val="0"/>
                <w:sz w:val="24"/>
              </w:rPr>
              <w:t>20</w:t>
            </w:r>
          </w:p>
        </w:tc>
        <w:tc>
          <w:tcPr>
            <w:tcW w:w="448" w:type="pct"/>
            <w:tcBorders>
              <w:top w:val="nil"/>
              <w:bottom w:val="nil"/>
            </w:tcBorders>
            <w:tcMar>
              <w:left w:w="64" w:type="dxa"/>
              <w:right w:w="64" w:type="dxa"/>
            </w:tcMar>
            <w:vAlign w:val="center"/>
          </w:tcPr>
          <w:p w14:paraId="620CED5D" w14:textId="77777777" w:rsidR="00841576" w:rsidRPr="00743FF1" w:rsidRDefault="00841576" w:rsidP="00743FF1">
            <w:pPr>
              <w:widowControl/>
              <w:ind w:firstLineChars="0" w:firstLine="0"/>
              <w:jc w:val="center"/>
              <w:rPr>
                <w:kern w:val="0"/>
                <w:sz w:val="24"/>
              </w:rPr>
            </w:pPr>
            <w:r w:rsidRPr="00743FF1">
              <w:rPr>
                <w:color w:val="000000"/>
                <w:kern w:val="0"/>
                <w:sz w:val="24"/>
              </w:rPr>
              <w:t>50</w:t>
            </w:r>
          </w:p>
        </w:tc>
        <w:tc>
          <w:tcPr>
            <w:tcW w:w="523" w:type="pct"/>
            <w:tcBorders>
              <w:top w:val="nil"/>
              <w:bottom w:val="nil"/>
            </w:tcBorders>
            <w:tcMar>
              <w:left w:w="64" w:type="dxa"/>
              <w:right w:w="64" w:type="dxa"/>
            </w:tcMar>
            <w:vAlign w:val="center"/>
          </w:tcPr>
          <w:p w14:paraId="24FAE5FF" w14:textId="77777777" w:rsidR="00841576" w:rsidRPr="00743FF1" w:rsidRDefault="00841576" w:rsidP="00743FF1">
            <w:pPr>
              <w:widowControl/>
              <w:ind w:firstLineChars="0" w:firstLine="0"/>
              <w:jc w:val="center"/>
              <w:rPr>
                <w:kern w:val="0"/>
                <w:sz w:val="24"/>
              </w:rPr>
            </w:pPr>
            <w:r w:rsidRPr="00743FF1">
              <w:rPr>
                <w:color w:val="000000"/>
                <w:kern w:val="0"/>
                <w:sz w:val="24"/>
              </w:rPr>
              <w:t>150</w:t>
            </w:r>
          </w:p>
        </w:tc>
        <w:tc>
          <w:tcPr>
            <w:tcW w:w="373" w:type="pct"/>
            <w:vMerge/>
            <w:tcBorders>
              <w:bottom w:val="nil"/>
            </w:tcBorders>
            <w:tcMar>
              <w:left w:w="64" w:type="dxa"/>
              <w:right w:w="64" w:type="dxa"/>
            </w:tcMar>
            <w:vAlign w:val="center"/>
          </w:tcPr>
          <w:p w14:paraId="48563FFA" w14:textId="1CD3B5A0" w:rsidR="00841576" w:rsidRPr="00743FF1" w:rsidRDefault="00841576" w:rsidP="00743FF1">
            <w:pPr>
              <w:widowControl/>
              <w:ind w:firstLineChars="0" w:firstLine="0"/>
              <w:jc w:val="center"/>
              <w:rPr>
                <w:kern w:val="0"/>
                <w:sz w:val="24"/>
              </w:rPr>
            </w:pPr>
          </w:p>
        </w:tc>
        <w:tc>
          <w:tcPr>
            <w:tcW w:w="447" w:type="pct"/>
            <w:vMerge/>
            <w:tcBorders>
              <w:bottom w:val="nil"/>
            </w:tcBorders>
            <w:tcMar>
              <w:left w:w="64" w:type="dxa"/>
              <w:right w:w="64" w:type="dxa"/>
            </w:tcMar>
            <w:vAlign w:val="center"/>
          </w:tcPr>
          <w:p w14:paraId="2FE13994" w14:textId="563C5069" w:rsidR="00841576" w:rsidRPr="00743FF1" w:rsidRDefault="00841576" w:rsidP="00743FF1">
            <w:pPr>
              <w:widowControl/>
              <w:ind w:firstLineChars="0" w:firstLine="0"/>
              <w:jc w:val="center"/>
              <w:rPr>
                <w:kern w:val="0"/>
                <w:sz w:val="24"/>
              </w:rPr>
            </w:pPr>
          </w:p>
        </w:tc>
        <w:tc>
          <w:tcPr>
            <w:tcW w:w="671" w:type="pct"/>
            <w:vMerge/>
            <w:vAlign w:val="center"/>
          </w:tcPr>
          <w:p w14:paraId="579AFB95" w14:textId="77777777" w:rsidR="00841576" w:rsidRPr="00743FF1" w:rsidRDefault="00841576" w:rsidP="00B54714">
            <w:pPr>
              <w:widowControl/>
              <w:ind w:firstLineChars="0" w:firstLine="0"/>
              <w:jc w:val="center"/>
              <w:rPr>
                <w:color w:val="000000"/>
                <w:kern w:val="0"/>
                <w:sz w:val="24"/>
              </w:rPr>
            </w:pPr>
          </w:p>
        </w:tc>
      </w:tr>
      <w:tr w:rsidR="00251FDC" w:rsidRPr="00743FF1" w14:paraId="5991AC8E" w14:textId="77777777" w:rsidTr="00251FDC">
        <w:trPr>
          <w:trHeight w:val="258"/>
        </w:trPr>
        <w:tc>
          <w:tcPr>
            <w:tcW w:w="597" w:type="pct"/>
            <w:vMerge w:val="restart"/>
            <w:tcBorders>
              <w:top w:val="nil"/>
            </w:tcBorders>
            <w:tcMar>
              <w:left w:w="64" w:type="dxa"/>
              <w:right w:w="64" w:type="dxa"/>
            </w:tcMar>
            <w:vAlign w:val="center"/>
          </w:tcPr>
          <w:p w14:paraId="3812D203" w14:textId="721515E1" w:rsidR="00251FDC" w:rsidRPr="00841576" w:rsidRDefault="00251FDC" w:rsidP="00251FDC">
            <w:pPr>
              <w:widowControl/>
              <w:ind w:firstLineChars="0" w:firstLine="0"/>
              <w:jc w:val="center"/>
              <w:rPr>
                <w:color w:val="000000"/>
                <w:kern w:val="0"/>
                <w:sz w:val="24"/>
              </w:rPr>
            </w:pPr>
            <w:r>
              <w:rPr>
                <w:rFonts w:hint="eastAsia"/>
                <w:color w:val="000000"/>
                <w:kern w:val="0"/>
                <w:sz w:val="24"/>
              </w:rPr>
              <w:t>浙江省</w:t>
            </w:r>
          </w:p>
        </w:tc>
        <w:tc>
          <w:tcPr>
            <w:tcW w:w="673" w:type="pct"/>
            <w:vMerge w:val="restart"/>
            <w:tcBorders>
              <w:top w:val="nil"/>
            </w:tcBorders>
            <w:tcMar>
              <w:left w:w="64" w:type="dxa"/>
              <w:right w:w="64" w:type="dxa"/>
            </w:tcMar>
            <w:vAlign w:val="center"/>
          </w:tcPr>
          <w:p w14:paraId="450F9E32" w14:textId="0FBB901C" w:rsidR="00251FDC" w:rsidRPr="00841576" w:rsidRDefault="00251FDC" w:rsidP="00251FDC">
            <w:pPr>
              <w:widowControl/>
              <w:ind w:firstLineChars="0" w:firstLine="0"/>
              <w:jc w:val="center"/>
              <w:rPr>
                <w:color w:val="000000"/>
                <w:kern w:val="0"/>
                <w:sz w:val="24"/>
              </w:rPr>
            </w:pPr>
            <w:r w:rsidRPr="00841576">
              <w:rPr>
                <w:color w:val="000000"/>
                <w:kern w:val="0"/>
                <w:sz w:val="24"/>
              </w:rPr>
              <w:t>DB33/1415-2025</w:t>
            </w:r>
          </w:p>
        </w:tc>
        <w:tc>
          <w:tcPr>
            <w:tcW w:w="743" w:type="pct"/>
            <w:tcBorders>
              <w:top w:val="nil"/>
              <w:bottom w:val="nil"/>
            </w:tcBorders>
            <w:tcMar>
              <w:left w:w="64" w:type="dxa"/>
              <w:right w:w="64" w:type="dxa"/>
            </w:tcMar>
            <w:vAlign w:val="center"/>
          </w:tcPr>
          <w:p w14:paraId="0334CD98" w14:textId="0275ED96" w:rsidR="00251FDC" w:rsidRDefault="00251FDC" w:rsidP="00251FDC">
            <w:pPr>
              <w:widowControl/>
              <w:ind w:firstLineChars="0" w:firstLine="0"/>
              <w:jc w:val="center"/>
              <w:rPr>
                <w:kern w:val="0"/>
                <w:sz w:val="24"/>
              </w:rPr>
            </w:pPr>
            <w:r w:rsidRPr="00841576">
              <w:rPr>
                <w:color w:val="000000"/>
                <w:kern w:val="0"/>
                <w:sz w:val="24"/>
              </w:rPr>
              <w:t>城市建成区</w:t>
            </w:r>
          </w:p>
        </w:tc>
        <w:tc>
          <w:tcPr>
            <w:tcW w:w="525" w:type="pct"/>
            <w:tcBorders>
              <w:top w:val="nil"/>
            </w:tcBorders>
            <w:tcMar>
              <w:left w:w="64" w:type="dxa"/>
              <w:right w:w="64" w:type="dxa"/>
            </w:tcMar>
            <w:vAlign w:val="center"/>
          </w:tcPr>
          <w:p w14:paraId="67C3D4E3" w14:textId="2E15DAF8" w:rsidR="00251FDC" w:rsidRPr="00743FF1" w:rsidRDefault="00251FDC" w:rsidP="00251FDC">
            <w:pPr>
              <w:widowControl/>
              <w:ind w:firstLineChars="0" w:firstLine="0"/>
              <w:jc w:val="center"/>
              <w:rPr>
                <w:color w:val="000000"/>
                <w:kern w:val="0"/>
                <w:sz w:val="24"/>
              </w:rPr>
            </w:pPr>
            <w:r>
              <w:rPr>
                <w:rFonts w:hint="eastAsia"/>
                <w:color w:val="000000"/>
                <w:kern w:val="0"/>
                <w:sz w:val="24"/>
              </w:rPr>
              <w:t>10</w:t>
            </w:r>
          </w:p>
        </w:tc>
        <w:tc>
          <w:tcPr>
            <w:tcW w:w="448" w:type="pct"/>
            <w:tcBorders>
              <w:top w:val="nil"/>
            </w:tcBorders>
            <w:vAlign w:val="center"/>
          </w:tcPr>
          <w:p w14:paraId="5ECB04C5" w14:textId="5EE1AE48" w:rsidR="00251FDC" w:rsidRPr="00743FF1" w:rsidRDefault="00251FDC" w:rsidP="00251FDC">
            <w:pPr>
              <w:widowControl/>
              <w:ind w:firstLineChars="0" w:firstLine="0"/>
              <w:jc w:val="center"/>
              <w:rPr>
                <w:color w:val="000000"/>
                <w:kern w:val="0"/>
                <w:sz w:val="24"/>
              </w:rPr>
            </w:pPr>
            <w:r>
              <w:rPr>
                <w:rFonts w:hint="eastAsia"/>
                <w:color w:val="000000"/>
                <w:kern w:val="0"/>
                <w:sz w:val="24"/>
              </w:rPr>
              <w:t>35</w:t>
            </w:r>
          </w:p>
        </w:tc>
        <w:tc>
          <w:tcPr>
            <w:tcW w:w="523" w:type="pct"/>
            <w:tcBorders>
              <w:top w:val="nil"/>
            </w:tcBorders>
            <w:vAlign w:val="center"/>
          </w:tcPr>
          <w:p w14:paraId="2D82E085" w14:textId="63AFCCB0" w:rsidR="00251FDC" w:rsidRPr="00743FF1" w:rsidRDefault="00251FDC" w:rsidP="00251FDC">
            <w:pPr>
              <w:widowControl/>
              <w:ind w:firstLineChars="0" w:firstLine="0"/>
              <w:jc w:val="center"/>
              <w:rPr>
                <w:color w:val="000000"/>
                <w:kern w:val="0"/>
                <w:sz w:val="24"/>
              </w:rPr>
            </w:pPr>
            <w:r>
              <w:rPr>
                <w:rFonts w:hint="eastAsia"/>
                <w:color w:val="000000"/>
                <w:kern w:val="0"/>
                <w:sz w:val="24"/>
              </w:rPr>
              <w:t>50</w:t>
            </w:r>
          </w:p>
        </w:tc>
        <w:tc>
          <w:tcPr>
            <w:tcW w:w="373" w:type="pct"/>
            <w:tcBorders>
              <w:top w:val="nil"/>
            </w:tcBorders>
            <w:vAlign w:val="center"/>
          </w:tcPr>
          <w:p w14:paraId="10EC17D3" w14:textId="6A4C65A9" w:rsidR="00251FDC" w:rsidRPr="00743FF1" w:rsidRDefault="00251FDC" w:rsidP="00251FDC">
            <w:pPr>
              <w:widowControl/>
              <w:ind w:firstLineChars="0" w:firstLine="0"/>
              <w:jc w:val="center"/>
              <w:rPr>
                <w:color w:val="000000"/>
                <w:kern w:val="0"/>
                <w:sz w:val="24"/>
              </w:rPr>
            </w:pPr>
            <w:r>
              <w:rPr>
                <w:rFonts w:hint="eastAsia"/>
                <w:color w:val="000000"/>
                <w:kern w:val="0"/>
                <w:sz w:val="24"/>
              </w:rPr>
              <w:t>-</w:t>
            </w:r>
          </w:p>
        </w:tc>
        <w:tc>
          <w:tcPr>
            <w:tcW w:w="447" w:type="pct"/>
            <w:tcBorders>
              <w:top w:val="nil"/>
            </w:tcBorders>
            <w:vAlign w:val="center"/>
          </w:tcPr>
          <w:p w14:paraId="4C5AB465" w14:textId="0FE4E98D" w:rsidR="00251FDC" w:rsidRPr="00743FF1" w:rsidRDefault="00251FDC" w:rsidP="00251FDC">
            <w:pPr>
              <w:widowControl/>
              <w:ind w:firstLineChars="0" w:firstLine="0"/>
              <w:jc w:val="center"/>
              <w:rPr>
                <w:color w:val="000000"/>
                <w:kern w:val="0"/>
                <w:sz w:val="24"/>
              </w:rPr>
            </w:pPr>
            <w:r>
              <w:rPr>
                <w:rFonts w:hint="eastAsia"/>
                <w:color w:val="000000"/>
                <w:kern w:val="0"/>
                <w:sz w:val="24"/>
              </w:rPr>
              <w:t>-</w:t>
            </w:r>
          </w:p>
        </w:tc>
        <w:tc>
          <w:tcPr>
            <w:tcW w:w="671" w:type="pct"/>
            <w:tcBorders>
              <w:top w:val="nil"/>
            </w:tcBorders>
            <w:vAlign w:val="center"/>
          </w:tcPr>
          <w:p w14:paraId="4E457476" w14:textId="5BE081F0" w:rsidR="00251FDC" w:rsidRPr="00743FF1" w:rsidRDefault="00251FDC" w:rsidP="00251FDC">
            <w:pPr>
              <w:widowControl/>
              <w:ind w:firstLineChars="0" w:firstLine="0"/>
              <w:jc w:val="center"/>
              <w:rPr>
                <w:color w:val="000000"/>
                <w:kern w:val="0"/>
                <w:sz w:val="24"/>
              </w:rPr>
            </w:pPr>
            <w:r>
              <w:rPr>
                <w:rFonts w:hint="eastAsia"/>
                <w:color w:val="000000"/>
                <w:kern w:val="0"/>
                <w:sz w:val="24"/>
              </w:rPr>
              <w:t>-</w:t>
            </w:r>
          </w:p>
        </w:tc>
      </w:tr>
      <w:tr w:rsidR="00251FDC" w:rsidRPr="00743FF1" w14:paraId="1FD45A39" w14:textId="77777777" w:rsidTr="00251FDC">
        <w:trPr>
          <w:trHeight w:val="258"/>
        </w:trPr>
        <w:tc>
          <w:tcPr>
            <w:tcW w:w="597" w:type="pct"/>
            <w:vMerge/>
            <w:tcMar>
              <w:left w:w="64" w:type="dxa"/>
              <w:right w:w="64" w:type="dxa"/>
            </w:tcMar>
            <w:vAlign w:val="center"/>
          </w:tcPr>
          <w:p w14:paraId="181DA350" w14:textId="77777777" w:rsidR="00251FDC" w:rsidRDefault="00251FDC" w:rsidP="00251FDC">
            <w:pPr>
              <w:widowControl/>
              <w:ind w:firstLineChars="0" w:firstLine="0"/>
              <w:jc w:val="center"/>
              <w:rPr>
                <w:color w:val="000000"/>
                <w:kern w:val="0"/>
                <w:sz w:val="24"/>
              </w:rPr>
            </w:pPr>
          </w:p>
        </w:tc>
        <w:tc>
          <w:tcPr>
            <w:tcW w:w="673" w:type="pct"/>
            <w:vMerge/>
            <w:tcMar>
              <w:left w:w="64" w:type="dxa"/>
              <w:right w:w="64" w:type="dxa"/>
            </w:tcMar>
            <w:vAlign w:val="center"/>
          </w:tcPr>
          <w:p w14:paraId="440F0390" w14:textId="77777777" w:rsidR="00251FDC" w:rsidRPr="00841576" w:rsidRDefault="00251FDC" w:rsidP="00251FDC">
            <w:pPr>
              <w:widowControl/>
              <w:ind w:firstLineChars="0" w:firstLine="0"/>
              <w:jc w:val="center"/>
              <w:rPr>
                <w:color w:val="000000"/>
                <w:kern w:val="0"/>
                <w:sz w:val="24"/>
              </w:rPr>
            </w:pPr>
          </w:p>
        </w:tc>
        <w:tc>
          <w:tcPr>
            <w:tcW w:w="743" w:type="pct"/>
            <w:tcBorders>
              <w:top w:val="nil"/>
              <w:bottom w:val="nil"/>
            </w:tcBorders>
            <w:tcMar>
              <w:left w:w="64" w:type="dxa"/>
              <w:right w:w="64" w:type="dxa"/>
            </w:tcMar>
            <w:vAlign w:val="center"/>
          </w:tcPr>
          <w:p w14:paraId="0F0885F1" w14:textId="01284D91" w:rsidR="00251FDC" w:rsidRDefault="00251FDC" w:rsidP="00251FDC">
            <w:pPr>
              <w:widowControl/>
              <w:ind w:firstLineChars="0" w:firstLine="0"/>
              <w:jc w:val="center"/>
              <w:rPr>
                <w:kern w:val="0"/>
                <w:sz w:val="24"/>
              </w:rPr>
            </w:pPr>
            <w:r w:rsidRPr="00743FF1">
              <w:rPr>
                <w:color w:val="000000"/>
                <w:kern w:val="0"/>
                <w:sz w:val="24"/>
              </w:rPr>
              <w:t>其他区域</w:t>
            </w:r>
          </w:p>
        </w:tc>
        <w:tc>
          <w:tcPr>
            <w:tcW w:w="525" w:type="pct"/>
            <w:tcMar>
              <w:left w:w="64" w:type="dxa"/>
              <w:right w:w="64" w:type="dxa"/>
            </w:tcMar>
            <w:vAlign w:val="center"/>
          </w:tcPr>
          <w:p w14:paraId="7175A97C" w14:textId="60BBC163" w:rsidR="00251FDC" w:rsidRPr="00743FF1" w:rsidRDefault="00251FDC" w:rsidP="00251FDC">
            <w:pPr>
              <w:widowControl/>
              <w:ind w:firstLineChars="0" w:firstLine="0"/>
              <w:jc w:val="center"/>
              <w:rPr>
                <w:color w:val="000000"/>
                <w:kern w:val="0"/>
                <w:sz w:val="24"/>
              </w:rPr>
            </w:pPr>
            <w:r>
              <w:rPr>
                <w:rFonts w:hint="eastAsia"/>
                <w:color w:val="000000"/>
                <w:kern w:val="0"/>
                <w:sz w:val="24"/>
              </w:rPr>
              <w:t>20</w:t>
            </w:r>
          </w:p>
        </w:tc>
        <w:tc>
          <w:tcPr>
            <w:tcW w:w="448" w:type="pct"/>
            <w:vAlign w:val="center"/>
          </w:tcPr>
          <w:p w14:paraId="49F3DE4D" w14:textId="248B396D" w:rsidR="00251FDC" w:rsidRPr="00743FF1" w:rsidRDefault="00251FDC" w:rsidP="00251FDC">
            <w:pPr>
              <w:widowControl/>
              <w:ind w:firstLineChars="0" w:firstLine="0"/>
              <w:jc w:val="center"/>
              <w:rPr>
                <w:color w:val="000000"/>
                <w:kern w:val="0"/>
                <w:sz w:val="24"/>
              </w:rPr>
            </w:pPr>
            <w:r>
              <w:rPr>
                <w:rFonts w:hint="eastAsia"/>
                <w:color w:val="000000"/>
                <w:kern w:val="0"/>
                <w:sz w:val="24"/>
              </w:rPr>
              <w:t>50</w:t>
            </w:r>
          </w:p>
        </w:tc>
        <w:tc>
          <w:tcPr>
            <w:tcW w:w="523" w:type="pct"/>
            <w:vAlign w:val="center"/>
          </w:tcPr>
          <w:p w14:paraId="2BA40B50" w14:textId="6E24B3A1" w:rsidR="00251FDC" w:rsidRPr="00743FF1" w:rsidRDefault="00251FDC" w:rsidP="00251FDC">
            <w:pPr>
              <w:widowControl/>
              <w:ind w:firstLineChars="0" w:firstLine="0"/>
              <w:jc w:val="center"/>
              <w:rPr>
                <w:color w:val="000000"/>
                <w:kern w:val="0"/>
                <w:sz w:val="24"/>
              </w:rPr>
            </w:pPr>
            <w:r>
              <w:rPr>
                <w:rFonts w:hint="eastAsia"/>
                <w:color w:val="000000"/>
                <w:kern w:val="0"/>
                <w:sz w:val="24"/>
              </w:rPr>
              <w:t>150</w:t>
            </w:r>
          </w:p>
        </w:tc>
        <w:tc>
          <w:tcPr>
            <w:tcW w:w="373" w:type="pct"/>
            <w:vAlign w:val="center"/>
          </w:tcPr>
          <w:p w14:paraId="4F52BFA6" w14:textId="77777777" w:rsidR="00251FDC" w:rsidRPr="00743FF1" w:rsidRDefault="00251FDC" w:rsidP="00251FDC">
            <w:pPr>
              <w:widowControl/>
              <w:ind w:firstLineChars="0" w:firstLine="0"/>
              <w:jc w:val="center"/>
              <w:rPr>
                <w:color w:val="000000"/>
                <w:kern w:val="0"/>
                <w:sz w:val="24"/>
              </w:rPr>
            </w:pPr>
          </w:p>
        </w:tc>
        <w:tc>
          <w:tcPr>
            <w:tcW w:w="447" w:type="pct"/>
            <w:vAlign w:val="center"/>
          </w:tcPr>
          <w:p w14:paraId="348F1700" w14:textId="77777777" w:rsidR="00251FDC" w:rsidRPr="00743FF1" w:rsidRDefault="00251FDC" w:rsidP="00251FDC">
            <w:pPr>
              <w:widowControl/>
              <w:ind w:firstLineChars="0" w:firstLine="0"/>
              <w:jc w:val="center"/>
              <w:rPr>
                <w:color w:val="000000"/>
                <w:kern w:val="0"/>
                <w:sz w:val="24"/>
              </w:rPr>
            </w:pPr>
          </w:p>
        </w:tc>
        <w:tc>
          <w:tcPr>
            <w:tcW w:w="671" w:type="pct"/>
            <w:vAlign w:val="center"/>
          </w:tcPr>
          <w:p w14:paraId="39417939" w14:textId="2E4A5E03" w:rsidR="00251FDC" w:rsidRPr="00743FF1" w:rsidRDefault="00251FDC" w:rsidP="00251FDC">
            <w:pPr>
              <w:widowControl/>
              <w:ind w:firstLineChars="0" w:firstLine="0"/>
              <w:jc w:val="center"/>
              <w:rPr>
                <w:color w:val="000000"/>
                <w:kern w:val="0"/>
                <w:sz w:val="24"/>
              </w:rPr>
            </w:pPr>
            <w:r>
              <w:rPr>
                <w:rFonts w:hint="eastAsia"/>
                <w:color w:val="000000"/>
                <w:kern w:val="0"/>
                <w:sz w:val="24"/>
              </w:rPr>
              <w:t>8</w:t>
            </w:r>
            <w:r w:rsidRPr="00251FDC">
              <w:rPr>
                <w:rFonts w:hint="eastAsia"/>
                <w:color w:val="000000"/>
                <w:kern w:val="0"/>
                <w:sz w:val="24"/>
                <w:vertAlign w:val="superscript"/>
              </w:rPr>
              <w:t>d</w:t>
            </w:r>
          </w:p>
        </w:tc>
      </w:tr>
      <w:tr w:rsidR="00841576" w:rsidRPr="00743FF1" w14:paraId="51778492" w14:textId="6FB267FB" w:rsidTr="00251FDC">
        <w:trPr>
          <w:trHeight w:val="241"/>
        </w:trPr>
        <w:tc>
          <w:tcPr>
            <w:tcW w:w="597" w:type="pct"/>
            <w:vMerge w:val="restart"/>
            <w:tcBorders>
              <w:top w:val="nil"/>
            </w:tcBorders>
            <w:tcMar>
              <w:left w:w="64" w:type="dxa"/>
              <w:right w:w="64" w:type="dxa"/>
            </w:tcMar>
            <w:vAlign w:val="center"/>
          </w:tcPr>
          <w:p w14:paraId="109B8EEE" w14:textId="77777777" w:rsidR="00841576" w:rsidRPr="009516E3" w:rsidRDefault="00841576" w:rsidP="00743FF1">
            <w:pPr>
              <w:widowControl/>
              <w:ind w:firstLineChars="0" w:firstLine="0"/>
              <w:jc w:val="center"/>
              <w:rPr>
                <w:kern w:val="0"/>
                <w:sz w:val="24"/>
                <w:highlight w:val="yellow"/>
              </w:rPr>
            </w:pPr>
            <w:r w:rsidRPr="00841576">
              <w:rPr>
                <w:color w:val="000000"/>
                <w:kern w:val="0"/>
                <w:sz w:val="24"/>
              </w:rPr>
              <w:t>海南省</w:t>
            </w:r>
          </w:p>
        </w:tc>
        <w:tc>
          <w:tcPr>
            <w:tcW w:w="673" w:type="pct"/>
            <w:vMerge w:val="restart"/>
            <w:tcBorders>
              <w:top w:val="nil"/>
            </w:tcBorders>
            <w:tcMar>
              <w:left w:w="64" w:type="dxa"/>
              <w:right w:w="64" w:type="dxa"/>
            </w:tcMar>
            <w:vAlign w:val="center"/>
          </w:tcPr>
          <w:p w14:paraId="4B2546F7" w14:textId="77777777" w:rsidR="00841576" w:rsidRDefault="00841576" w:rsidP="00743FF1">
            <w:pPr>
              <w:widowControl/>
              <w:ind w:firstLineChars="0" w:firstLine="0"/>
              <w:jc w:val="center"/>
              <w:rPr>
                <w:color w:val="000000"/>
                <w:kern w:val="0"/>
                <w:sz w:val="24"/>
              </w:rPr>
            </w:pPr>
            <w:r w:rsidRPr="00841576">
              <w:rPr>
                <w:color w:val="000000"/>
                <w:kern w:val="0"/>
                <w:sz w:val="24"/>
              </w:rPr>
              <w:t>DB46/</w:t>
            </w:r>
          </w:p>
          <w:p w14:paraId="3AC705EC" w14:textId="2FEDA6D0" w:rsidR="00841576" w:rsidRPr="009516E3" w:rsidRDefault="00841576" w:rsidP="00743FF1">
            <w:pPr>
              <w:widowControl/>
              <w:ind w:firstLineChars="0" w:firstLine="0"/>
              <w:jc w:val="center"/>
              <w:rPr>
                <w:kern w:val="0"/>
                <w:sz w:val="24"/>
                <w:highlight w:val="yellow"/>
              </w:rPr>
            </w:pPr>
            <w:r w:rsidRPr="00841576">
              <w:rPr>
                <w:color w:val="000000"/>
                <w:kern w:val="0"/>
                <w:sz w:val="24"/>
              </w:rPr>
              <w:t>622-2024</w:t>
            </w:r>
          </w:p>
        </w:tc>
        <w:tc>
          <w:tcPr>
            <w:tcW w:w="743" w:type="pct"/>
            <w:tcBorders>
              <w:top w:val="nil"/>
              <w:bottom w:val="nil"/>
            </w:tcBorders>
            <w:tcMar>
              <w:left w:w="64" w:type="dxa"/>
              <w:right w:w="64" w:type="dxa"/>
            </w:tcMar>
            <w:vAlign w:val="center"/>
          </w:tcPr>
          <w:p w14:paraId="003AF0D3" w14:textId="0BEBF46B" w:rsidR="00841576" w:rsidRPr="00743FF1" w:rsidRDefault="00841576" w:rsidP="00743FF1">
            <w:pPr>
              <w:widowControl/>
              <w:ind w:firstLineChars="0" w:firstLine="0"/>
              <w:jc w:val="center"/>
              <w:rPr>
                <w:kern w:val="0"/>
                <w:sz w:val="24"/>
              </w:rPr>
            </w:pPr>
            <w:r>
              <w:rPr>
                <w:rFonts w:hint="eastAsia"/>
                <w:kern w:val="0"/>
                <w:sz w:val="24"/>
              </w:rPr>
              <w:t>在用</w:t>
            </w:r>
          </w:p>
        </w:tc>
        <w:tc>
          <w:tcPr>
            <w:tcW w:w="525" w:type="pct"/>
            <w:vMerge w:val="restart"/>
            <w:tcBorders>
              <w:top w:val="nil"/>
            </w:tcBorders>
            <w:tcMar>
              <w:left w:w="64" w:type="dxa"/>
              <w:right w:w="64" w:type="dxa"/>
            </w:tcMar>
            <w:vAlign w:val="center"/>
          </w:tcPr>
          <w:p w14:paraId="70358A11" w14:textId="77777777" w:rsidR="00841576" w:rsidRPr="00743FF1" w:rsidRDefault="00841576" w:rsidP="00743FF1">
            <w:pPr>
              <w:widowControl/>
              <w:ind w:firstLineChars="0" w:firstLine="0"/>
              <w:jc w:val="center"/>
              <w:rPr>
                <w:kern w:val="0"/>
                <w:sz w:val="24"/>
              </w:rPr>
            </w:pPr>
            <w:r w:rsidRPr="00743FF1">
              <w:rPr>
                <w:color w:val="000000"/>
                <w:kern w:val="0"/>
                <w:sz w:val="24"/>
              </w:rPr>
              <w:t>10</w:t>
            </w:r>
          </w:p>
        </w:tc>
        <w:tc>
          <w:tcPr>
            <w:tcW w:w="448" w:type="pct"/>
            <w:vMerge w:val="restart"/>
            <w:tcBorders>
              <w:top w:val="nil"/>
            </w:tcBorders>
            <w:tcMar>
              <w:left w:w="64" w:type="dxa"/>
              <w:right w:w="64" w:type="dxa"/>
            </w:tcMar>
            <w:vAlign w:val="center"/>
          </w:tcPr>
          <w:p w14:paraId="50FEAFF4" w14:textId="77777777" w:rsidR="00841576" w:rsidRPr="00743FF1" w:rsidRDefault="00841576" w:rsidP="00743FF1">
            <w:pPr>
              <w:widowControl/>
              <w:ind w:firstLineChars="0" w:firstLine="0"/>
              <w:jc w:val="center"/>
              <w:rPr>
                <w:kern w:val="0"/>
                <w:sz w:val="24"/>
              </w:rPr>
            </w:pPr>
            <w:r w:rsidRPr="00743FF1">
              <w:rPr>
                <w:color w:val="000000"/>
                <w:kern w:val="0"/>
                <w:sz w:val="24"/>
              </w:rPr>
              <w:t>35</w:t>
            </w:r>
          </w:p>
        </w:tc>
        <w:tc>
          <w:tcPr>
            <w:tcW w:w="523" w:type="pct"/>
            <w:tcBorders>
              <w:top w:val="nil"/>
              <w:bottom w:val="nil"/>
            </w:tcBorders>
            <w:tcMar>
              <w:left w:w="64" w:type="dxa"/>
              <w:right w:w="64" w:type="dxa"/>
            </w:tcMar>
            <w:vAlign w:val="center"/>
          </w:tcPr>
          <w:p w14:paraId="55B0FC94" w14:textId="1E8BDB46" w:rsidR="00841576" w:rsidRPr="00743FF1" w:rsidRDefault="00841576" w:rsidP="00743FF1">
            <w:pPr>
              <w:widowControl/>
              <w:ind w:firstLineChars="0" w:firstLine="0"/>
              <w:jc w:val="center"/>
              <w:rPr>
                <w:kern w:val="0"/>
                <w:sz w:val="24"/>
              </w:rPr>
            </w:pPr>
            <w:r w:rsidRPr="00743FF1">
              <w:rPr>
                <w:color w:val="000000"/>
                <w:kern w:val="0"/>
                <w:sz w:val="24"/>
              </w:rPr>
              <w:t>150</w:t>
            </w:r>
          </w:p>
        </w:tc>
        <w:tc>
          <w:tcPr>
            <w:tcW w:w="373" w:type="pct"/>
            <w:vMerge w:val="restart"/>
            <w:tcBorders>
              <w:top w:val="nil"/>
            </w:tcBorders>
            <w:tcMar>
              <w:left w:w="64" w:type="dxa"/>
              <w:right w:w="64" w:type="dxa"/>
            </w:tcMar>
            <w:vAlign w:val="center"/>
          </w:tcPr>
          <w:p w14:paraId="01D6AAE9" w14:textId="77777777" w:rsidR="00841576" w:rsidRPr="00743FF1" w:rsidRDefault="00841576" w:rsidP="00743FF1">
            <w:pPr>
              <w:widowControl/>
              <w:ind w:firstLineChars="0" w:firstLine="0"/>
              <w:jc w:val="center"/>
              <w:rPr>
                <w:kern w:val="0"/>
                <w:sz w:val="24"/>
              </w:rPr>
            </w:pPr>
            <w:r w:rsidRPr="00743FF1">
              <w:rPr>
                <w:color w:val="000000"/>
                <w:kern w:val="0"/>
                <w:sz w:val="24"/>
              </w:rPr>
              <w:t>-</w:t>
            </w:r>
          </w:p>
        </w:tc>
        <w:tc>
          <w:tcPr>
            <w:tcW w:w="447" w:type="pct"/>
            <w:vMerge w:val="restart"/>
            <w:tcBorders>
              <w:top w:val="nil"/>
            </w:tcBorders>
            <w:tcMar>
              <w:left w:w="64" w:type="dxa"/>
              <w:right w:w="64" w:type="dxa"/>
            </w:tcMar>
            <w:vAlign w:val="center"/>
          </w:tcPr>
          <w:p w14:paraId="23676AC3" w14:textId="101210FF" w:rsidR="00841576" w:rsidRPr="00743FF1" w:rsidRDefault="00841576" w:rsidP="00743FF1">
            <w:pPr>
              <w:widowControl/>
              <w:ind w:firstLineChars="0" w:firstLine="0"/>
              <w:jc w:val="center"/>
              <w:rPr>
                <w:kern w:val="0"/>
                <w:sz w:val="24"/>
              </w:rPr>
            </w:pPr>
            <w:r w:rsidRPr="00743FF1">
              <w:rPr>
                <w:color w:val="000000"/>
                <w:kern w:val="0"/>
                <w:sz w:val="24"/>
              </w:rPr>
              <w:t>0.03</w:t>
            </w:r>
          </w:p>
        </w:tc>
        <w:tc>
          <w:tcPr>
            <w:tcW w:w="671" w:type="pct"/>
            <w:vMerge w:val="restart"/>
            <w:vAlign w:val="center"/>
          </w:tcPr>
          <w:p w14:paraId="2A4BF4C2" w14:textId="5C71D0BC" w:rsidR="00841576" w:rsidRPr="00743FF1" w:rsidRDefault="00251FDC" w:rsidP="00B54714">
            <w:pPr>
              <w:widowControl/>
              <w:ind w:firstLineChars="0" w:firstLine="0"/>
              <w:jc w:val="center"/>
              <w:rPr>
                <w:color w:val="000000"/>
                <w:kern w:val="0"/>
                <w:sz w:val="24"/>
              </w:rPr>
            </w:pPr>
            <w:r>
              <w:rPr>
                <w:rFonts w:hint="eastAsia"/>
                <w:color w:val="000000"/>
                <w:kern w:val="0"/>
                <w:sz w:val="24"/>
              </w:rPr>
              <w:t>-</w:t>
            </w:r>
          </w:p>
        </w:tc>
      </w:tr>
      <w:tr w:rsidR="00841576" w:rsidRPr="00743FF1" w14:paraId="2CB629C3" w14:textId="77777777" w:rsidTr="00251FDC">
        <w:trPr>
          <w:trHeight w:val="76"/>
        </w:trPr>
        <w:tc>
          <w:tcPr>
            <w:tcW w:w="597" w:type="pct"/>
            <w:vMerge/>
            <w:tcBorders>
              <w:bottom w:val="nil"/>
            </w:tcBorders>
            <w:tcMar>
              <w:left w:w="64" w:type="dxa"/>
              <w:right w:w="64" w:type="dxa"/>
            </w:tcMar>
            <w:vAlign w:val="center"/>
          </w:tcPr>
          <w:p w14:paraId="2C9F04B6" w14:textId="77777777" w:rsidR="00841576" w:rsidRPr="009516E3" w:rsidRDefault="00841576" w:rsidP="00743FF1">
            <w:pPr>
              <w:widowControl/>
              <w:ind w:firstLineChars="0" w:firstLine="0"/>
              <w:jc w:val="center"/>
              <w:rPr>
                <w:color w:val="000000"/>
                <w:kern w:val="0"/>
                <w:sz w:val="24"/>
                <w:highlight w:val="yellow"/>
              </w:rPr>
            </w:pPr>
          </w:p>
        </w:tc>
        <w:tc>
          <w:tcPr>
            <w:tcW w:w="673" w:type="pct"/>
            <w:vMerge/>
            <w:tcBorders>
              <w:bottom w:val="nil"/>
            </w:tcBorders>
            <w:tcMar>
              <w:left w:w="64" w:type="dxa"/>
              <w:right w:w="64" w:type="dxa"/>
            </w:tcMar>
            <w:vAlign w:val="center"/>
          </w:tcPr>
          <w:p w14:paraId="6B848904" w14:textId="77777777" w:rsidR="00841576" w:rsidRPr="00841576" w:rsidRDefault="00841576" w:rsidP="00743FF1">
            <w:pPr>
              <w:widowControl/>
              <w:ind w:firstLineChars="0" w:firstLine="0"/>
              <w:jc w:val="center"/>
              <w:rPr>
                <w:color w:val="000000"/>
                <w:kern w:val="0"/>
                <w:sz w:val="24"/>
              </w:rPr>
            </w:pPr>
          </w:p>
        </w:tc>
        <w:tc>
          <w:tcPr>
            <w:tcW w:w="743" w:type="pct"/>
            <w:tcBorders>
              <w:top w:val="nil"/>
              <w:bottom w:val="nil"/>
            </w:tcBorders>
            <w:tcMar>
              <w:left w:w="64" w:type="dxa"/>
              <w:right w:w="64" w:type="dxa"/>
            </w:tcMar>
            <w:vAlign w:val="center"/>
          </w:tcPr>
          <w:p w14:paraId="5689428E" w14:textId="36BECD94" w:rsidR="00841576" w:rsidRDefault="00841576" w:rsidP="00743FF1">
            <w:pPr>
              <w:widowControl/>
              <w:ind w:firstLineChars="0" w:firstLine="0"/>
              <w:jc w:val="center"/>
              <w:rPr>
                <w:kern w:val="0"/>
                <w:sz w:val="24"/>
              </w:rPr>
            </w:pPr>
            <w:r>
              <w:rPr>
                <w:rFonts w:hint="eastAsia"/>
                <w:kern w:val="0"/>
                <w:sz w:val="24"/>
              </w:rPr>
              <w:t>新建</w:t>
            </w:r>
          </w:p>
        </w:tc>
        <w:tc>
          <w:tcPr>
            <w:tcW w:w="525" w:type="pct"/>
            <w:vMerge/>
            <w:tcBorders>
              <w:bottom w:val="nil"/>
            </w:tcBorders>
            <w:tcMar>
              <w:left w:w="64" w:type="dxa"/>
              <w:right w:w="64" w:type="dxa"/>
            </w:tcMar>
            <w:vAlign w:val="center"/>
          </w:tcPr>
          <w:p w14:paraId="6ACB3533" w14:textId="77777777" w:rsidR="00841576" w:rsidRPr="00743FF1" w:rsidRDefault="00841576" w:rsidP="00743FF1">
            <w:pPr>
              <w:widowControl/>
              <w:ind w:firstLineChars="0" w:firstLine="0"/>
              <w:jc w:val="center"/>
              <w:rPr>
                <w:color w:val="000000"/>
                <w:kern w:val="0"/>
                <w:sz w:val="24"/>
              </w:rPr>
            </w:pPr>
          </w:p>
        </w:tc>
        <w:tc>
          <w:tcPr>
            <w:tcW w:w="448" w:type="pct"/>
            <w:vMerge/>
            <w:tcBorders>
              <w:bottom w:val="nil"/>
            </w:tcBorders>
            <w:tcMar>
              <w:left w:w="64" w:type="dxa"/>
              <w:right w:w="64" w:type="dxa"/>
            </w:tcMar>
            <w:vAlign w:val="center"/>
          </w:tcPr>
          <w:p w14:paraId="10C4C9C9" w14:textId="77777777" w:rsidR="00841576" w:rsidRPr="00743FF1" w:rsidRDefault="00841576" w:rsidP="00743FF1">
            <w:pPr>
              <w:widowControl/>
              <w:ind w:firstLineChars="0" w:firstLine="0"/>
              <w:jc w:val="center"/>
              <w:rPr>
                <w:color w:val="000000"/>
                <w:kern w:val="0"/>
                <w:sz w:val="24"/>
              </w:rPr>
            </w:pPr>
          </w:p>
        </w:tc>
        <w:tc>
          <w:tcPr>
            <w:tcW w:w="523" w:type="pct"/>
            <w:tcBorders>
              <w:top w:val="nil"/>
              <w:bottom w:val="nil"/>
            </w:tcBorders>
            <w:tcMar>
              <w:left w:w="64" w:type="dxa"/>
              <w:right w:w="64" w:type="dxa"/>
            </w:tcMar>
            <w:vAlign w:val="center"/>
          </w:tcPr>
          <w:p w14:paraId="687DD8FE" w14:textId="08CEEFB4" w:rsidR="00841576" w:rsidRPr="00743FF1" w:rsidRDefault="00841576" w:rsidP="00743FF1">
            <w:pPr>
              <w:widowControl/>
              <w:ind w:firstLineChars="0" w:firstLine="0"/>
              <w:jc w:val="center"/>
              <w:rPr>
                <w:color w:val="000000"/>
                <w:kern w:val="0"/>
                <w:sz w:val="24"/>
              </w:rPr>
            </w:pPr>
            <w:r>
              <w:rPr>
                <w:rFonts w:hint="eastAsia"/>
                <w:color w:val="000000"/>
                <w:kern w:val="0"/>
                <w:sz w:val="24"/>
              </w:rPr>
              <w:t>50</w:t>
            </w:r>
          </w:p>
        </w:tc>
        <w:tc>
          <w:tcPr>
            <w:tcW w:w="373" w:type="pct"/>
            <w:vMerge/>
            <w:tcBorders>
              <w:bottom w:val="nil"/>
            </w:tcBorders>
            <w:tcMar>
              <w:left w:w="64" w:type="dxa"/>
              <w:right w:w="64" w:type="dxa"/>
            </w:tcMar>
            <w:vAlign w:val="center"/>
          </w:tcPr>
          <w:p w14:paraId="3EFA7239" w14:textId="77777777" w:rsidR="00841576" w:rsidRPr="00743FF1" w:rsidRDefault="00841576" w:rsidP="00743FF1">
            <w:pPr>
              <w:widowControl/>
              <w:ind w:firstLineChars="0" w:firstLine="0"/>
              <w:jc w:val="center"/>
              <w:rPr>
                <w:color w:val="000000"/>
                <w:kern w:val="0"/>
                <w:sz w:val="24"/>
              </w:rPr>
            </w:pPr>
          </w:p>
        </w:tc>
        <w:tc>
          <w:tcPr>
            <w:tcW w:w="447" w:type="pct"/>
            <w:vMerge/>
            <w:tcBorders>
              <w:bottom w:val="nil"/>
            </w:tcBorders>
            <w:tcMar>
              <w:left w:w="64" w:type="dxa"/>
              <w:right w:w="64" w:type="dxa"/>
            </w:tcMar>
            <w:vAlign w:val="center"/>
          </w:tcPr>
          <w:p w14:paraId="28FCC867" w14:textId="77777777" w:rsidR="00841576" w:rsidRPr="00743FF1" w:rsidRDefault="00841576" w:rsidP="00743FF1">
            <w:pPr>
              <w:widowControl/>
              <w:ind w:firstLineChars="0" w:firstLine="0"/>
              <w:jc w:val="center"/>
              <w:rPr>
                <w:color w:val="000000"/>
                <w:kern w:val="0"/>
                <w:sz w:val="24"/>
              </w:rPr>
            </w:pPr>
          </w:p>
        </w:tc>
        <w:tc>
          <w:tcPr>
            <w:tcW w:w="671" w:type="pct"/>
            <w:vMerge/>
            <w:vAlign w:val="center"/>
          </w:tcPr>
          <w:p w14:paraId="04A0ED24" w14:textId="77777777" w:rsidR="00841576" w:rsidRPr="00743FF1" w:rsidRDefault="00841576" w:rsidP="00B54714">
            <w:pPr>
              <w:widowControl/>
              <w:ind w:firstLineChars="0" w:firstLine="0"/>
              <w:jc w:val="center"/>
              <w:rPr>
                <w:color w:val="000000"/>
                <w:kern w:val="0"/>
                <w:sz w:val="24"/>
              </w:rPr>
            </w:pPr>
          </w:p>
        </w:tc>
      </w:tr>
      <w:tr w:rsidR="00B54714" w:rsidRPr="00743FF1" w14:paraId="2EA6D783" w14:textId="3EF97198" w:rsidTr="00251FDC">
        <w:trPr>
          <w:trHeight w:val="556"/>
        </w:trPr>
        <w:tc>
          <w:tcPr>
            <w:tcW w:w="597" w:type="pct"/>
            <w:tcBorders>
              <w:top w:val="nil"/>
            </w:tcBorders>
            <w:tcMar>
              <w:left w:w="64" w:type="dxa"/>
              <w:right w:w="64" w:type="dxa"/>
            </w:tcMar>
            <w:vAlign w:val="center"/>
          </w:tcPr>
          <w:p w14:paraId="7125BBB0" w14:textId="77777777" w:rsidR="00B54714" w:rsidRPr="00251FDC" w:rsidRDefault="00B54714" w:rsidP="00743FF1">
            <w:pPr>
              <w:widowControl/>
              <w:ind w:firstLineChars="0" w:firstLine="0"/>
              <w:jc w:val="center"/>
              <w:rPr>
                <w:kern w:val="0"/>
                <w:sz w:val="24"/>
              </w:rPr>
            </w:pPr>
            <w:r w:rsidRPr="00251FDC">
              <w:rPr>
                <w:color w:val="000000"/>
                <w:kern w:val="0"/>
                <w:sz w:val="24"/>
              </w:rPr>
              <w:lastRenderedPageBreak/>
              <w:t>吉林省</w:t>
            </w:r>
          </w:p>
        </w:tc>
        <w:tc>
          <w:tcPr>
            <w:tcW w:w="673" w:type="pct"/>
            <w:tcBorders>
              <w:top w:val="nil"/>
            </w:tcBorders>
            <w:tcMar>
              <w:left w:w="64" w:type="dxa"/>
              <w:right w:w="64" w:type="dxa"/>
            </w:tcMar>
            <w:vAlign w:val="center"/>
          </w:tcPr>
          <w:p w14:paraId="4F9E494B" w14:textId="2E481BC9" w:rsidR="00B54714" w:rsidRPr="00251FDC" w:rsidRDefault="00B54714" w:rsidP="00743FF1">
            <w:pPr>
              <w:widowControl/>
              <w:ind w:firstLineChars="0" w:firstLine="0"/>
              <w:jc w:val="center"/>
              <w:rPr>
                <w:kern w:val="0"/>
                <w:sz w:val="24"/>
              </w:rPr>
            </w:pPr>
            <w:r w:rsidRPr="00251FDC">
              <w:rPr>
                <w:color w:val="000000"/>
                <w:kern w:val="0"/>
                <w:sz w:val="24"/>
              </w:rPr>
              <w:t>DB22</w:t>
            </w:r>
            <w:r w:rsidR="00841576" w:rsidRPr="00251FDC">
              <w:rPr>
                <w:rFonts w:hint="eastAsia"/>
                <w:color w:val="000000"/>
                <w:kern w:val="0"/>
                <w:sz w:val="24"/>
              </w:rPr>
              <w:t>/T 2581-2016</w:t>
            </w:r>
          </w:p>
        </w:tc>
        <w:tc>
          <w:tcPr>
            <w:tcW w:w="743" w:type="pct"/>
            <w:tcBorders>
              <w:top w:val="nil"/>
              <w:bottom w:val="nil"/>
            </w:tcBorders>
            <w:tcMar>
              <w:left w:w="64" w:type="dxa"/>
              <w:right w:w="64" w:type="dxa"/>
            </w:tcMar>
            <w:vAlign w:val="center"/>
          </w:tcPr>
          <w:p w14:paraId="066EB3EB" w14:textId="05A591BA" w:rsidR="00B54714" w:rsidRPr="00743FF1" w:rsidRDefault="00251FDC" w:rsidP="00743FF1">
            <w:pPr>
              <w:widowControl/>
              <w:ind w:firstLineChars="0" w:firstLine="0"/>
              <w:jc w:val="center"/>
              <w:rPr>
                <w:kern w:val="0"/>
                <w:sz w:val="24"/>
              </w:rPr>
            </w:pPr>
            <w:r>
              <w:rPr>
                <w:rFonts w:hint="eastAsia"/>
                <w:kern w:val="0"/>
                <w:sz w:val="24"/>
              </w:rPr>
              <w:t>在用</w:t>
            </w:r>
            <w:r>
              <w:rPr>
                <w:rFonts w:hint="eastAsia"/>
                <w:kern w:val="0"/>
                <w:sz w:val="24"/>
              </w:rPr>
              <w:t>/</w:t>
            </w:r>
            <w:r>
              <w:rPr>
                <w:rFonts w:hint="eastAsia"/>
                <w:kern w:val="0"/>
                <w:sz w:val="24"/>
              </w:rPr>
              <w:t>新建</w:t>
            </w:r>
          </w:p>
        </w:tc>
        <w:tc>
          <w:tcPr>
            <w:tcW w:w="525" w:type="pct"/>
            <w:tcBorders>
              <w:top w:val="nil"/>
              <w:bottom w:val="nil"/>
            </w:tcBorders>
            <w:tcMar>
              <w:left w:w="64" w:type="dxa"/>
              <w:right w:w="64" w:type="dxa"/>
            </w:tcMar>
            <w:vAlign w:val="center"/>
          </w:tcPr>
          <w:p w14:paraId="5FF8E089" w14:textId="2555299C" w:rsidR="00B54714" w:rsidRPr="00743FF1" w:rsidRDefault="00251FDC" w:rsidP="00743FF1">
            <w:pPr>
              <w:widowControl/>
              <w:ind w:firstLineChars="0" w:firstLine="0"/>
              <w:jc w:val="center"/>
              <w:rPr>
                <w:kern w:val="0"/>
                <w:sz w:val="24"/>
              </w:rPr>
            </w:pPr>
            <w:r>
              <w:rPr>
                <w:rFonts w:hint="eastAsia"/>
                <w:kern w:val="0"/>
                <w:sz w:val="24"/>
              </w:rPr>
              <w:t>30</w:t>
            </w:r>
          </w:p>
        </w:tc>
        <w:tc>
          <w:tcPr>
            <w:tcW w:w="448" w:type="pct"/>
            <w:tcBorders>
              <w:top w:val="nil"/>
              <w:bottom w:val="nil"/>
            </w:tcBorders>
            <w:tcMar>
              <w:left w:w="64" w:type="dxa"/>
              <w:right w:w="64" w:type="dxa"/>
            </w:tcMar>
            <w:vAlign w:val="center"/>
          </w:tcPr>
          <w:p w14:paraId="69CAE160" w14:textId="77777777" w:rsidR="00B54714" w:rsidRPr="00743FF1" w:rsidRDefault="00B54714" w:rsidP="00743FF1">
            <w:pPr>
              <w:widowControl/>
              <w:ind w:firstLineChars="0" w:firstLine="0"/>
              <w:jc w:val="center"/>
              <w:rPr>
                <w:kern w:val="0"/>
                <w:sz w:val="24"/>
              </w:rPr>
            </w:pPr>
            <w:r w:rsidRPr="00743FF1">
              <w:rPr>
                <w:color w:val="000000"/>
                <w:kern w:val="0"/>
                <w:sz w:val="24"/>
              </w:rPr>
              <w:t>50</w:t>
            </w:r>
          </w:p>
        </w:tc>
        <w:tc>
          <w:tcPr>
            <w:tcW w:w="523" w:type="pct"/>
            <w:tcBorders>
              <w:top w:val="nil"/>
              <w:bottom w:val="nil"/>
            </w:tcBorders>
            <w:tcMar>
              <w:left w:w="64" w:type="dxa"/>
              <w:right w:w="64" w:type="dxa"/>
            </w:tcMar>
            <w:vAlign w:val="center"/>
          </w:tcPr>
          <w:p w14:paraId="27351883" w14:textId="1D1EE0BD" w:rsidR="00B54714" w:rsidRPr="00743FF1" w:rsidRDefault="00B54714" w:rsidP="00743FF1">
            <w:pPr>
              <w:widowControl/>
              <w:ind w:firstLineChars="0" w:firstLine="0"/>
              <w:jc w:val="center"/>
              <w:rPr>
                <w:kern w:val="0"/>
                <w:sz w:val="24"/>
              </w:rPr>
            </w:pPr>
            <w:r w:rsidRPr="00743FF1">
              <w:rPr>
                <w:color w:val="000000"/>
                <w:kern w:val="0"/>
                <w:sz w:val="24"/>
              </w:rPr>
              <w:t>2</w:t>
            </w:r>
            <w:r w:rsidR="00251FDC">
              <w:rPr>
                <w:rFonts w:hint="eastAsia"/>
                <w:color w:val="000000"/>
                <w:kern w:val="0"/>
                <w:sz w:val="24"/>
              </w:rPr>
              <w:t>5</w:t>
            </w:r>
            <w:r w:rsidRPr="00743FF1">
              <w:rPr>
                <w:color w:val="000000"/>
                <w:kern w:val="0"/>
                <w:sz w:val="24"/>
              </w:rPr>
              <w:t>0</w:t>
            </w:r>
          </w:p>
        </w:tc>
        <w:tc>
          <w:tcPr>
            <w:tcW w:w="373" w:type="pct"/>
            <w:tcBorders>
              <w:top w:val="nil"/>
              <w:bottom w:val="nil"/>
            </w:tcBorders>
            <w:tcMar>
              <w:left w:w="64" w:type="dxa"/>
              <w:right w:w="64" w:type="dxa"/>
            </w:tcMar>
            <w:vAlign w:val="center"/>
          </w:tcPr>
          <w:p w14:paraId="3AFA1E00" w14:textId="2F2F8F51" w:rsidR="00B54714" w:rsidRPr="00743FF1" w:rsidRDefault="00B54714" w:rsidP="00743FF1">
            <w:pPr>
              <w:widowControl/>
              <w:ind w:firstLineChars="0" w:firstLine="0"/>
              <w:jc w:val="center"/>
              <w:rPr>
                <w:kern w:val="0"/>
                <w:sz w:val="24"/>
              </w:rPr>
            </w:pPr>
            <w:r w:rsidRPr="00743FF1">
              <w:rPr>
                <w:color w:val="000000"/>
                <w:kern w:val="0"/>
                <w:sz w:val="24"/>
              </w:rPr>
              <w:t>-</w:t>
            </w:r>
          </w:p>
        </w:tc>
        <w:tc>
          <w:tcPr>
            <w:tcW w:w="447" w:type="pct"/>
            <w:tcBorders>
              <w:top w:val="nil"/>
              <w:bottom w:val="nil"/>
            </w:tcBorders>
            <w:tcMar>
              <w:left w:w="64" w:type="dxa"/>
              <w:right w:w="64" w:type="dxa"/>
            </w:tcMar>
            <w:vAlign w:val="center"/>
          </w:tcPr>
          <w:p w14:paraId="285DB99F" w14:textId="0DDADA7B" w:rsidR="00B54714" w:rsidRPr="00743FF1" w:rsidRDefault="00B54714" w:rsidP="00743FF1">
            <w:pPr>
              <w:widowControl/>
              <w:ind w:firstLineChars="0" w:firstLine="0"/>
              <w:jc w:val="center"/>
              <w:rPr>
                <w:kern w:val="0"/>
                <w:sz w:val="24"/>
              </w:rPr>
            </w:pPr>
            <w:r w:rsidRPr="00743FF1">
              <w:rPr>
                <w:color w:val="000000"/>
                <w:kern w:val="0"/>
                <w:sz w:val="24"/>
              </w:rPr>
              <w:t>-</w:t>
            </w:r>
          </w:p>
        </w:tc>
        <w:tc>
          <w:tcPr>
            <w:tcW w:w="671" w:type="pct"/>
            <w:vAlign w:val="center"/>
          </w:tcPr>
          <w:p w14:paraId="0287BA20" w14:textId="44A08096" w:rsidR="00B54714" w:rsidRPr="00743FF1" w:rsidRDefault="00251FDC" w:rsidP="00B54714">
            <w:pPr>
              <w:widowControl/>
              <w:ind w:firstLineChars="0" w:firstLine="0"/>
              <w:jc w:val="center"/>
              <w:rPr>
                <w:color w:val="000000"/>
                <w:kern w:val="0"/>
                <w:sz w:val="24"/>
              </w:rPr>
            </w:pPr>
            <w:r>
              <w:rPr>
                <w:rFonts w:hint="eastAsia"/>
                <w:color w:val="000000"/>
                <w:kern w:val="0"/>
                <w:sz w:val="24"/>
              </w:rPr>
              <w:t>-</w:t>
            </w:r>
          </w:p>
        </w:tc>
      </w:tr>
      <w:tr w:rsidR="00251FDC" w:rsidRPr="00743FF1" w14:paraId="6C41AF20" w14:textId="77777777" w:rsidTr="00533225">
        <w:trPr>
          <w:trHeight w:val="258"/>
        </w:trPr>
        <w:tc>
          <w:tcPr>
            <w:tcW w:w="597" w:type="pct"/>
            <w:vMerge w:val="restart"/>
            <w:tcBorders>
              <w:top w:val="nil"/>
              <w:bottom w:val="single" w:sz="8" w:space="0" w:color="auto"/>
            </w:tcBorders>
            <w:tcMar>
              <w:left w:w="64" w:type="dxa"/>
              <w:right w:w="64" w:type="dxa"/>
            </w:tcMar>
            <w:vAlign w:val="center"/>
          </w:tcPr>
          <w:p w14:paraId="3CB57C4F" w14:textId="7E81EC3D" w:rsidR="00251FDC" w:rsidRPr="00251FDC" w:rsidRDefault="00251FDC" w:rsidP="00743FF1">
            <w:pPr>
              <w:widowControl/>
              <w:ind w:firstLineChars="0" w:firstLine="0"/>
              <w:jc w:val="center"/>
              <w:rPr>
                <w:color w:val="000000"/>
                <w:kern w:val="0"/>
                <w:sz w:val="24"/>
              </w:rPr>
            </w:pPr>
            <w:r>
              <w:rPr>
                <w:rFonts w:hint="eastAsia"/>
                <w:color w:val="000000"/>
                <w:kern w:val="0"/>
                <w:sz w:val="24"/>
              </w:rPr>
              <w:t>湖北省</w:t>
            </w:r>
          </w:p>
        </w:tc>
        <w:tc>
          <w:tcPr>
            <w:tcW w:w="673" w:type="pct"/>
            <w:vMerge w:val="restart"/>
            <w:tcBorders>
              <w:top w:val="nil"/>
              <w:bottom w:val="single" w:sz="8" w:space="0" w:color="auto"/>
            </w:tcBorders>
            <w:tcMar>
              <w:left w:w="64" w:type="dxa"/>
              <w:right w:w="64" w:type="dxa"/>
            </w:tcMar>
            <w:vAlign w:val="center"/>
          </w:tcPr>
          <w:p w14:paraId="196EBF8A" w14:textId="425D0797" w:rsidR="00251FDC" w:rsidRPr="00251FDC" w:rsidRDefault="00251FDC" w:rsidP="00743FF1">
            <w:pPr>
              <w:widowControl/>
              <w:ind w:firstLineChars="0" w:firstLine="0"/>
              <w:jc w:val="center"/>
              <w:rPr>
                <w:color w:val="000000"/>
                <w:kern w:val="0"/>
                <w:sz w:val="24"/>
              </w:rPr>
            </w:pPr>
            <w:r w:rsidRPr="00251FDC">
              <w:rPr>
                <w:color w:val="000000"/>
                <w:kern w:val="0"/>
                <w:sz w:val="24"/>
              </w:rPr>
              <w:t>DB42/T</w:t>
            </w:r>
            <w:r w:rsidR="00B112D1">
              <w:rPr>
                <w:rFonts w:hint="eastAsia"/>
                <w:color w:val="000000"/>
                <w:kern w:val="0"/>
                <w:sz w:val="24"/>
              </w:rPr>
              <w:t xml:space="preserve"> </w:t>
            </w:r>
            <w:r w:rsidRPr="00251FDC">
              <w:rPr>
                <w:color w:val="000000"/>
                <w:kern w:val="0"/>
                <w:sz w:val="24"/>
              </w:rPr>
              <w:t>1906-2022</w:t>
            </w:r>
          </w:p>
        </w:tc>
        <w:tc>
          <w:tcPr>
            <w:tcW w:w="743" w:type="pct"/>
            <w:tcBorders>
              <w:top w:val="nil"/>
            </w:tcBorders>
            <w:tcMar>
              <w:left w:w="64" w:type="dxa"/>
              <w:right w:w="64" w:type="dxa"/>
            </w:tcMar>
            <w:vAlign w:val="center"/>
          </w:tcPr>
          <w:p w14:paraId="48B6C6A2" w14:textId="23F52F4C" w:rsidR="00251FDC" w:rsidRDefault="00251FDC" w:rsidP="00743FF1">
            <w:pPr>
              <w:widowControl/>
              <w:ind w:firstLineChars="0" w:firstLine="0"/>
              <w:jc w:val="center"/>
              <w:rPr>
                <w:kern w:val="0"/>
                <w:sz w:val="24"/>
              </w:rPr>
            </w:pPr>
            <w:r>
              <w:rPr>
                <w:rFonts w:hint="eastAsia"/>
                <w:kern w:val="0"/>
                <w:sz w:val="24"/>
              </w:rPr>
              <w:t>重点地区</w:t>
            </w:r>
          </w:p>
        </w:tc>
        <w:tc>
          <w:tcPr>
            <w:tcW w:w="525" w:type="pct"/>
            <w:tcBorders>
              <w:top w:val="nil"/>
            </w:tcBorders>
            <w:tcMar>
              <w:left w:w="64" w:type="dxa"/>
              <w:right w:w="64" w:type="dxa"/>
            </w:tcMar>
            <w:vAlign w:val="center"/>
          </w:tcPr>
          <w:p w14:paraId="2E34B005" w14:textId="63C51C1F" w:rsidR="00251FDC" w:rsidRDefault="00251FDC" w:rsidP="00B54714">
            <w:pPr>
              <w:widowControl/>
              <w:ind w:firstLineChars="0" w:firstLine="0"/>
              <w:jc w:val="center"/>
              <w:rPr>
                <w:color w:val="000000"/>
                <w:kern w:val="0"/>
                <w:sz w:val="24"/>
              </w:rPr>
            </w:pPr>
            <w:r>
              <w:rPr>
                <w:rFonts w:hint="eastAsia"/>
                <w:color w:val="000000"/>
                <w:kern w:val="0"/>
                <w:sz w:val="24"/>
              </w:rPr>
              <w:t>20</w:t>
            </w:r>
          </w:p>
        </w:tc>
        <w:tc>
          <w:tcPr>
            <w:tcW w:w="448" w:type="pct"/>
            <w:tcBorders>
              <w:top w:val="nil"/>
            </w:tcBorders>
            <w:vAlign w:val="center"/>
          </w:tcPr>
          <w:p w14:paraId="365183A9" w14:textId="4A9D8022" w:rsidR="00251FDC" w:rsidRDefault="00251FDC" w:rsidP="00B54714">
            <w:pPr>
              <w:widowControl/>
              <w:ind w:firstLineChars="0" w:firstLine="0"/>
              <w:jc w:val="center"/>
              <w:rPr>
                <w:color w:val="000000"/>
                <w:kern w:val="0"/>
                <w:sz w:val="24"/>
              </w:rPr>
            </w:pPr>
            <w:r>
              <w:rPr>
                <w:rFonts w:hint="eastAsia"/>
                <w:color w:val="000000"/>
                <w:kern w:val="0"/>
                <w:sz w:val="24"/>
              </w:rPr>
              <w:t>40</w:t>
            </w:r>
          </w:p>
        </w:tc>
        <w:tc>
          <w:tcPr>
            <w:tcW w:w="523" w:type="pct"/>
            <w:tcBorders>
              <w:top w:val="nil"/>
            </w:tcBorders>
            <w:vAlign w:val="center"/>
          </w:tcPr>
          <w:p w14:paraId="7034CE0C" w14:textId="30DA79A8" w:rsidR="00251FDC" w:rsidRDefault="00251FDC" w:rsidP="00B54714">
            <w:pPr>
              <w:widowControl/>
              <w:ind w:firstLineChars="0" w:firstLine="0"/>
              <w:jc w:val="center"/>
              <w:rPr>
                <w:color w:val="000000"/>
                <w:kern w:val="0"/>
                <w:sz w:val="24"/>
              </w:rPr>
            </w:pPr>
            <w:r>
              <w:rPr>
                <w:rFonts w:hint="eastAsia"/>
                <w:color w:val="000000"/>
                <w:kern w:val="0"/>
                <w:sz w:val="24"/>
              </w:rPr>
              <w:t>150</w:t>
            </w:r>
          </w:p>
        </w:tc>
        <w:tc>
          <w:tcPr>
            <w:tcW w:w="373" w:type="pct"/>
            <w:tcBorders>
              <w:top w:val="nil"/>
            </w:tcBorders>
            <w:vAlign w:val="center"/>
          </w:tcPr>
          <w:p w14:paraId="34D19287" w14:textId="4879E23F" w:rsidR="00251FDC" w:rsidRDefault="00251FDC" w:rsidP="00B54714">
            <w:pPr>
              <w:widowControl/>
              <w:ind w:firstLineChars="0" w:firstLine="0"/>
              <w:jc w:val="center"/>
              <w:rPr>
                <w:color w:val="000000"/>
                <w:kern w:val="0"/>
                <w:sz w:val="24"/>
              </w:rPr>
            </w:pPr>
            <w:r>
              <w:rPr>
                <w:rFonts w:hint="eastAsia"/>
                <w:color w:val="000000"/>
                <w:kern w:val="0"/>
                <w:sz w:val="24"/>
              </w:rPr>
              <w:t>-</w:t>
            </w:r>
          </w:p>
        </w:tc>
        <w:tc>
          <w:tcPr>
            <w:tcW w:w="447" w:type="pct"/>
            <w:tcBorders>
              <w:top w:val="nil"/>
            </w:tcBorders>
            <w:vAlign w:val="center"/>
          </w:tcPr>
          <w:p w14:paraId="66EF1BBC" w14:textId="06E957EB" w:rsidR="00251FDC" w:rsidRDefault="00251FDC" w:rsidP="00B54714">
            <w:pPr>
              <w:widowControl/>
              <w:ind w:firstLineChars="0" w:firstLine="0"/>
              <w:jc w:val="center"/>
              <w:rPr>
                <w:color w:val="000000"/>
                <w:kern w:val="0"/>
                <w:sz w:val="24"/>
              </w:rPr>
            </w:pPr>
            <w:r>
              <w:rPr>
                <w:rFonts w:hint="eastAsia"/>
                <w:color w:val="000000"/>
                <w:kern w:val="0"/>
                <w:sz w:val="24"/>
              </w:rPr>
              <w:t>-</w:t>
            </w:r>
          </w:p>
        </w:tc>
        <w:tc>
          <w:tcPr>
            <w:tcW w:w="671" w:type="pct"/>
            <w:tcBorders>
              <w:top w:val="nil"/>
            </w:tcBorders>
            <w:vAlign w:val="center"/>
          </w:tcPr>
          <w:p w14:paraId="35A73FA7" w14:textId="40DE7B5B" w:rsidR="00251FDC" w:rsidRDefault="00251FDC" w:rsidP="00B54714">
            <w:pPr>
              <w:widowControl/>
              <w:ind w:firstLineChars="0" w:firstLine="0"/>
              <w:jc w:val="center"/>
              <w:rPr>
                <w:color w:val="000000"/>
                <w:kern w:val="0"/>
                <w:sz w:val="24"/>
              </w:rPr>
            </w:pPr>
            <w:r>
              <w:rPr>
                <w:rFonts w:hint="eastAsia"/>
                <w:color w:val="000000"/>
                <w:kern w:val="0"/>
                <w:sz w:val="24"/>
              </w:rPr>
              <w:t>-</w:t>
            </w:r>
          </w:p>
        </w:tc>
      </w:tr>
      <w:tr w:rsidR="00251FDC" w:rsidRPr="00743FF1" w14:paraId="24746E2C" w14:textId="77777777" w:rsidTr="00533225">
        <w:trPr>
          <w:trHeight w:val="258"/>
        </w:trPr>
        <w:tc>
          <w:tcPr>
            <w:tcW w:w="597" w:type="pct"/>
            <w:vMerge/>
            <w:tcBorders>
              <w:bottom w:val="single" w:sz="8" w:space="0" w:color="auto"/>
            </w:tcBorders>
            <w:tcMar>
              <w:left w:w="64" w:type="dxa"/>
              <w:right w:w="64" w:type="dxa"/>
            </w:tcMar>
            <w:vAlign w:val="center"/>
          </w:tcPr>
          <w:p w14:paraId="5C29E289" w14:textId="77777777" w:rsidR="00251FDC" w:rsidRDefault="00251FDC" w:rsidP="00743FF1">
            <w:pPr>
              <w:widowControl/>
              <w:ind w:firstLineChars="0" w:firstLine="0"/>
              <w:jc w:val="center"/>
              <w:rPr>
                <w:color w:val="000000"/>
                <w:kern w:val="0"/>
                <w:sz w:val="24"/>
              </w:rPr>
            </w:pPr>
          </w:p>
        </w:tc>
        <w:tc>
          <w:tcPr>
            <w:tcW w:w="673" w:type="pct"/>
            <w:vMerge/>
            <w:tcBorders>
              <w:bottom w:val="single" w:sz="8" w:space="0" w:color="auto"/>
            </w:tcBorders>
            <w:tcMar>
              <w:left w:w="64" w:type="dxa"/>
              <w:right w:w="64" w:type="dxa"/>
            </w:tcMar>
            <w:vAlign w:val="center"/>
          </w:tcPr>
          <w:p w14:paraId="4DE48CFE" w14:textId="77777777" w:rsidR="00251FDC" w:rsidRPr="00251FDC" w:rsidRDefault="00251FDC" w:rsidP="00743FF1">
            <w:pPr>
              <w:widowControl/>
              <w:ind w:firstLineChars="0" w:firstLine="0"/>
              <w:jc w:val="center"/>
              <w:rPr>
                <w:color w:val="000000"/>
                <w:kern w:val="0"/>
                <w:sz w:val="24"/>
              </w:rPr>
            </w:pPr>
          </w:p>
        </w:tc>
        <w:tc>
          <w:tcPr>
            <w:tcW w:w="743" w:type="pct"/>
            <w:tcBorders>
              <w:top w:val="nil"/>
              <w:bottom w:val="single" w:sz="8" w:space="0" w:color="auto"/>
            </w:tcBorders>
            <w:tcMar>
              <w:left w:w="64" w:type="dxa"/>
              <w:right w:w="64" w:type="dxa"/>
            </w:tcMar>
            <w:vAlign w:val="center"/>
          </w:tcPr>
          <w:p w14:paraId="5401C357" w14:textId="3E26D26B" w:rsidR="00251FDC" w:rsidRDefault="00251FDC" w:rsidP="00743FF1">
            <w:pPr>
              <w:widowControl/>
              <w:ind w:firstLineChars="0" w:firstLine="0"/>
              <w:jc w:val="center"/>
              <w:rPr>
                <w:kern w:val="0"/>
                <w:sz w:val="24"/>
              </w:rPr>
            </w:pPr>
            <w:r>
              <w:rPr>
                <w:rFonts w:hint="eastAsia"/>
                <w:kern w:val="0"/>
                <w:sz w:val="24"/>
              </w:rPr>
              <w:t>其他地区</w:t>
            </w:r>
          </w:p>
        </w:tc>
        <w:tc>
          <w:tcPr>
            <w:tcW w:w="525" w:type="pct"/>
            <w:tcBorders>
              <w:bottom w:val="single" w:sz="8" w:space="0" w:color="auto"/>
            </w:tcBorders>
            <w:tcMar>
              <w:left w:w="64" w:type="dxa"/>
              <w:right w:w="64" w:type="dxa"/>
            </w:tcMar>
            <w:vAlign w:val="center"/>
          </w:tcPr>
          <w:p w14:paraId="2B4EE23F" w14:textId="58C1F08F" w:rsidR="00251FDC" w:rsidRDefault="00251FDC" w:rsidP="00B54714">
            <w:pPr>
              <w:widowControl/>
              <w:ind w:firstLineChars="0" w:firstLine="0"/>
              <w:jc w:val="center"/>
              <w:rPr>
                <w:color w:val="000000"/>
                <w:kern w:val="0"/>
                <w:sz w:val="24"/>
              </w:rPr>
            </w:pPr>
            <w:r>
              <w:rPr>
                <w:rFonts w:hint="eastAsia"/>
                <w:color w:val="000000"/>
                <w:kern w:val="0"/>
                <w:sz w:val="24"/>
              </w:rPr>
              <w:t>30</w:t>
            </w:r>
          </w:p>
        </w:tc>
        <w:tc>
          <w:tcPr>
            <w:tcW w:w="448" w:type="pct"/>
            <w:tcBorders>
              <w:bottom w:val="single" w:sz="8" w:space="0" w:color="auto"/>
            </w:tcBorders>
            <w:vAlign w:val="center"/>
          </w:tcPr>
          <w:p w14:paraId="0C4A6747" w14:textId="7D841C32" w:rsidR="00251FDC" w:rsidRDefault="00251FDC" w:rsidP="00B54714">
            <w:pPr>
              <w:widowControl/>
              <w:ind w:firstLineChars="0" w:firstLine="0"/>
              <w:jc w:val="center"/>
              <w:rPr>
                <w:color w:val="000000"/>
                <w:kern w:val="0"/>
                <w:sz w:val="24"/>
              </w:rPr>
            </w:pPr>
            <w:r>
              <w:rPr>
                <w:rFonts w:hint="eastAsia"/>
                <w:color w:val="000000"/>
                <w:kern w:val="0"/>
                <w:sz w:val="24"/>
              </w:rPr>
              <w:t>80</w:t>
            </w:r>
          </w:p>
        </w:tc>
        <w:tc>
          <w:tcPr>
            <w:tcW w:w="523" w:type="pct"/>
            <w:tcBorders>
              <w:bottom w:val="single" w:sz="8" w:space="0" w:color="auto"/>
            </w:tcBorders>
            <w:vAlign w:val="center"/>
          </w:tcPr>
          <w:p w14:paraId="1D68C0D9" w14:textId="78724DB6" w:rsidR="00251FDC" w:rsidRDefault="00251FDC" w:rsidP="00B54714">
            <w:pPr>
              <w:widowControl/>
              <w:ind w:firstLineChars="0" w:firstLine="0"/>
              <w:jc w:val="center"/>
              <w:rPr>
                <w:color w:val="000000"/>
                <w:kern w:val="0"/>
                <w:sz w:val="24"/>
              </w:rPr>
            </w:pPr>
            <w:r>
              <w:rPr>
                <w:rFonts w:hint="eastAsia"/>
                <w:color w:val="000000"/>
                <w:kern w:val="0"/>
                <w:sz w:val="24"/>
              </w:rPr>
              <w:t>200</w:t>
            </w:r>
          </w:p>
        </w:tc>
        <w:tc>
          <w:tcPr>
            <w:tcW w:w="373" w:type="pct"/>
            <w:tcBorders>
              <w:bottom w:val="single" w:sz="8" w:space="0" w:color="auto"/>
            </w:tcBorders>
            <w:vAlign w:val="center"/>
          </w:tcPr>
          <w:p w14:paraId="56BB0532" w14:textId="60D63DE7" w:rsidR="00251FDC" w:rsidRDefault="00251FDC" w:rsidP="00B54714">
            <w:pPr>
              <w:widowControl/>
              <w:ind w:firstLineChars="0" w:firstLine="0"/>
              <w:jc w:val="center"/>
              <w:rPr>
                <w:color w:val="000000"/>
                <w:kern w:val="0"/>
                <w:sz w:val="24"/>
              </w:rPr>
            </w:pPr>
            <w:r>
              <w:rPr>
                <w:rFonts w:hint="eastAsia"/>
                <w:color w:val="000000"/>
                <w:kern w:val="0"/>
                <w:sz w:val="24"/>
              </w:rPr>
              <w:t>-</w:t>
            </w:r>
          </w:p>
        </w:tc>
        <w:tc>
          <w:tcPr>
            <w:tcW w:w="447" w:type="pct"/>
            <w:tcBorders>
              <w:bottom w:val="single" w:sz="8" w:space="0" w:color="auto"/>
            </w:tcBorders>
            <w:vAlign w:val="center"/>
          </w:tcPr>
          <w:p w14:paraId="5FC32A20" w14:textId="1611A3C2" w:rsidR="00251FDC" w:rsidRDefault="00251FDC" w:rsidP="00B54714">
            <w:pPr>
              <w:widowControl/>
              <w:ind w:firstLineChars="0" w:firstLine="0"/>
              <w:jc w:val="center"/>
              <w:rPr>
                <w:color w:val="000000"/>
                <w:kern w:val="0"/>
                <w:sz w:val="24"/>
              </w:rPr>
            </w:pPr>
            <w:r>
              <w:rPr>
                <w:rFonts w:hint="eastAsia"/>
                <w:color w:val="000000"/>
                <w:kern w:val="0"/>
                <w:sz w:val="24"/>
              </w:rPr>
              <w:t>-</w:t>
            </w:r>
          </w:p>
        </w:tc>
        <w:tc>
          <w:tcPr>
            <w:tcW w:w="671" w:type="pct"/>
            <w:tcBorders>
              <w:bottom w:val="single" w:sz="8" w:space="0" w:color="auto"/>
            </w:tcBorders>
            <w:vAlign w:val="center"/>
          </w:tcPr>
          <w:p w14:paraId="10082B5E" w14:textId="3DC3FEFA" w:rsidR="00251FDC" w:rsidRDefault="00251FDC" w:rsidP="00B54714">
            <w:pPr>
              <w:widowControl/>
              <w:ind w:firstLineChars="0" w:firstLine="0"/>
              <w:jc w:val="center"/>
              <w:rPr>
                <w:color w:val="000000"/>
                <w:kern w:val="0"/>
                <w:sz w:val="24"/>
              </w:rPr>
            </w:pPr>
            <w:r>
              <w:rPr>
                <w:rFonts w:hint="eastAsia"/>
                <w:color w:val="000000"/>
                <w:kern w:val="0"/>
                <w:sz w:val="24"/>
              </w:rPr>
              <w:t>-</w:t>
            </w:r>
          </w:p>
        </w:tc>
      </w:tr>
      <w:tr w:rsidR="00B54714" w:rsidRPr="00743FF1" w14:paraId="38473BAA" w14:textId="202AE18B" w:rsidTr="00251FDC">
        <w:trPr>
          <w:trHeight w:val="220"/>
        </w:trPr>
        <w:tc>
          <w:tcPr>
            <w:tcW w:w="5000" w:type="pct"/>
            <w:gridSpan w:val="9"/>
            <w:tcBorders>
              <w:top w:val="nil"/>
              <w:bottom w:val="single" w:sz="12" w:space="0" w:color="auto"/>
            </w:tcBorders>
            <w:tcMar>
              <w:left w:w="64" w:type="dxa"/>
              <w:right w:w="64" w:type="dxa"/>
            </w:tcMar>
            <w:vAlign w:val="center"/>
          </w:tcPr>
          <w:p w14:paraId="57B3C184" w14:textId="54AC124B" w:rsidR="00533225" w:rsidRDefault="00533225" w:rsidP="00E65078">
            <w:pPr>
              <w:autoSpaceDE w:val="0"/>
              <w:autoSpaceDN w:val="0"/>
              <w:adjustRightInd w:val="0"/>
              <w:spacing w:line="360" w:lineRule="exact"/>
              <w:ind w:firstLineChars="0" w:firstLine="0"/>
              <w:rPr>
                <w:sz w:val="24"/>
                <w:szCs w:val="22"/>
              </w:rPr>
            </w:pPr>
            <w:r w:rsidRPr="00533225">
              <w:rPr>
                <w:sz w:val="24"/>
                <w:szCs w:val="22"/>
              </w:rPr>
              <w:t>上述大气污染物排放浓度均按基准氧含量</w:t>
            </w:r>
            <w:r w:rsidRPr="00533225">
              <w:rPr>
                <w:sz w:val="24"/>
                <w:szCs w:val="22"/>
              </w:rPr>
              <w:t xml:space="preserve"> 9% </w:t>
            </w:r>
            <w:r w:rsidRPr="00533225">
              <w:rPr>
                <w:sz w:val="24"/>
                <w:szCs w:val="22"/>
              </w:rPr>
              <w:t>进行</w:t>
            </w:r>
            <w:r>
              <w:rPr>
                <w:rFonts w:hint="eastAsia"/>
                <w:sz w:val="24"/>
                <w:szCs w:val="22"/>
              </w:rPr>
              <w:t>折</w:t>
            </w:r>
            <w:r w:rsidRPr="00533225">
              <w:rPr>
                <w:sz w:val="24"/>
                <w:szCs w:val="22"/>
              </w:rPr>
              <w:t>算。</w:t>
            </w:r>
          </w:p>
          <w:p w14:paraId="3007E558" w14:textId="4AAEBB97" w:rsidR="00B54714" w:rsidRDefault="00B54714" w:rsidP="00E65078">
            <w:pPr>
              <w:autoSpaceDE w:val="0"/>
              <w:autoSpaceDN w:val="0"/>
              <w:adjustRightInd w:val="0"/>
              <w:spacing w:line="360" w:lineRule="exact"/>
              <w:ind w:firstLineChars="0" w:firstLine="0"/>
              <w:rPr>
                <w:sz w:val="24"/>
                <w:szCs w:val="22"/>
              </w:rPr>
            </w:pPr>
            <w:r w:rsidRPr="00E65078">
              <w:rPr>
                <w:sz w:val="24"/>
                <w:szCs w:val="22"/>
                <w:vertAlign w:val="superscript"/>
              </w:rPr>
              <w:t>a</w:t>
            </w:r>
            <w:r w:rsidRPr="00E65078">
              <w:rPr>
                <w:rFonts w:hint="eastAsia"/>
                <w:sz w:val="24"/>
                <w:szCs w:val="22"/>
              </w:rPr>
              <w:t xml:space="preserve"> </w:t>
            </w:r>
            <w:r w:rsidR="00590F0C">
              <w:rPr>
                <w:rFonts w:hint="eastAsia"/>
                <w:sz w:val="24"/>
                <w:szCs w:val="22"/>
              </w:rPr>
              <w:t>“</w:t>
            </w:r>
            <w:r w:rsidR="00590F0C">
              <w:rPr>
                <w:rFonts w:hint="eastAsia"/>
                <w:sz w:val="24"/>
                <w:szCs w:val="22"/>
              </w:rPr>
              <w:t>-</w:t>
            </w:r>
            <w:r w:rsidR="00590F0C">
              <w:rPr>
                <w:rFonts w:hint="eastAsia"/>
                <w:sz w:val="24"/>
                <w:szCs w:val="22"/>
              </w:rPr>
              <w:t>”表示</w:t>
            </w:r>
            <w:r w:rsidRPr="00E65078">
              <w:rPr>
                <w:sz w:val="24"/>
                <w:szCs w:val="22"/>
              </w:rPr>
              <w:t>标准中未规定。</w:t>
            </w:r>
          </w:p>
          <w:p w14:paraId="24FB04DD" w14:textId="311B5F77" w:rsidR="003E60FC" w:rsidRDefault="003E60FC" w:rsidP="003E60FC">
            <w:pPr>
              <w:autoSpaceDE w:val="0"/>
              <w:autoSpaceDN w:val="0"/>
              <w:adjustRightInd w:val="0"/>
              <w:spacing w:line="360" w:lineRule="exact"/>
              <w:ind w:firstLineChars="0" w:firstLine="0"/>
              <w:rPr>
                <w:sz w:val="24"/>
                <w:szCs w:val="22"/>
              </w:rPr>
            </w:pPr>
            <w:r>
              <w:rPr>
                <w:rFonts w:hint="eastAsia"/>
                <w:sz w:val="24"/>
                <w:szCs w:val="22"/>
                <w:vertAlign w:val="superscript"/>
              </w:rPr>
              <w:t>b</w:t>
            </w:r>
            <w:r w:rsidRPr="00E65078">
              <w:rPr>
                <w:rFonts w:hint="eastAsia"/>
                <w:sz w:val="24"/>
                <w:szCs w:val="22"/>
              </w:rPr>
              <w:t xml:space="preserve"> </w:t>
            </w:r>
            <w:r>
              <w:rPr>
                <w:rFonts w:hint="eastAsia"/>
                <w:sz w:val="24"/>
                <w:szCs w:val="22"/>
              </w:rPr>
              <w:t>由国务院环境保护主管部门或省级人民征服规定</w:t>
            </w:r>
          </w:p>
          <w:p w14:paraId="39F61C2A" w14:textId="66E67C2B" w:rsidR="00B54714" w:rsidRPr="00E65078" w:rsidRDefault="003E60FC" w:rsidP="00E65078">
            <w:pPr>
              <w:autoSpaceDE w:val="0"/>
              <w:autoSpaceDN w:val="0"/>
              <w:adjustRightInd w:val="0"/>
              <w:spacing w:line="360" w:lineRule="exact"/>
              <w:ind w:firstLineChars="0" w:firstLine="0"/>
              <w:rPr>
                <w:sz w:val="24"/>
                <w:szCs w:val="22"/>
              </w:rPr>
            </w:pPr>
            <w:r>
              <w:rPr>
                <w:rFonts w:hint="eastAsia"/>
                <w:sz w:val="24"/>
                <w:szCs w:val="22"/>
                <w:vertAlign w:val="superscript"/>
              </w:rPr>
              <w:t>c</w:t>
            </w:r>
            <w:r w:rsidR="00B54714" w:rsidRPr="00E65078">
              <w:rPr>
                <w:rFonts w:hint="eastAsia"/>
                <w:sz w:val="24"/>
                <w:szCs w:val="22"/>
              </w:rPr>
              <w:t xml:space="preserve"> </w:t>
            </w:r>
            <w:r w:rsidR="00B54714" w:rsidRPr="00E65078">
              <w:rPr>
                <w:sz w:val="24"/>
                <w:szCs w:val="22"/>
              </w:rPr>
              <w:t>适用于天津市行政区域内生物质成型燃料锅炉，散料</w:t>
            </w:r>
            <w:r w:rsidR="00B54714">
              <w:rPr>
                <w:rFonts w:hint="eastAsia"/>
                <w:sz w:val="24"/>
                <w:szCs w:val="22"/>
              </w:rPr>
              <w:t>直接燃烧</w:t>
            </w:r>
            <w:r w:rsidR="00B54714" w:rsidRPr="00E65078">
              <w:rPr>
                <w:sz w:val="24"/>
                <w:szCs w:val="22"/>
              </w:rPr>
              <w:t>执</w:t>
            </w:r>
            <w:r w:rsidR="00B54714">
              <w:rPr>
                <w:rFonts w:hint="eastAsia"/>
                <w:sz w:val="24"/>
                <w:szCs w:val="22"/>
              </w:rPr>
              <w:t>行</w:t>
            </w:r>
            <w:r w:rsidR="00B54714" w:rsidRPr="00E65078">
              <w:rPr>
                <w:sz w:val="24"/>
                <w:szCs w:val="22"/>
              </w:rPr>
              <w:t>。</w:t>
            </w:r>
          </w:p>
          <w:p w14:paraId="31A33DC4" w14:textId="4AEACBD1" w:rsidR="00B54714" w:rsidRPr="00E65078" w:rsidRDefault="003E60FC" w:rsidP="00E65078">
            <w:pPr>
              <w:autoSpaceDE w:val="0"/>
              <w:autoSpaceDN w:val="0"/>
              <w:adjustRightInd w:val="0"/>
              <w:spacing w:line="360" w:lineRule="exact"/>
              <w:ind w:firstLineChars="0" w:firstLine="0"/>
              <w:rPr>
                <w:sz w:val="24"/>
                <w:szCs w:val="22"/>
              </w:rPr>
            </w:pPr>
            <w:r>
              <w:rPr>
                <w:rFonts w:hint="eastAsia"/>
                <w:sz w:val="24"/>
                <w:szCs w:val="22"/>
                <w:vertAlign w:val="superscript"/>
              </w:rPr>
              <w:t>d</w:t>
            </w:r>
            <w:r w:rsidR="00B54714" w:rsidRPr="00B54714">
              <w:rPr>
                <w:rFonts w:hint="eastAsia"/>
                <w:sz w:val="24"/>
                <w:szCs w:val="22"/>
              </w:rPr>
              <w:t xml:space="preserve"> </w:t>
            </w:r>
            <w:r w:rsidR="00B54714" w:rsidRPr="00B54714">
              <w:rPr>
                <w:sz w:val="24"/>
                <w:szCs w:val="22"/>
              </w:rPr>
              <w:t>适用于使用氨水、尿素作为还原剂，去除烟气中二氧化硫、氮氧化物的情形</w:t>
            </w:r>
            <w:r w:rsidR="00B54714" w:rsidRPr="00E65078">
              <w:rPr>
                <w:sz w:val="24"/>
                <w:szCs w:val="22"/>
              </w:rPr>
              <w:t>。</w:t>
            </w:r>
          </w:p>
          <w:p w14:paraId="5DD68C72" w14:textId="77777777" w:rsidR="00B54714" w:rsidRDefault="003E60FC" w:rsidP="00E65078">
            <w:pPr>
              <w:autoSpaceDE w:val="0"/>
              <w:autoSpaceDN w:val="0"/>
              <w:adjustRightInd w:val="0"/>
              <w:spacing w:line="360" w:lineRule="exact"/>
              <w:ind w:firstLineChars="0" w:firstLine="0"/>
              <w:rPr>
                <w:sz w:val="24"/>
                <w:szCs w:val="22"/>
              </w:rPr>
            </w:pPr>
            <w:r>
              <w:rPr>
                <w:rFonts w:hint="eastAsia"/>
                <w:sz w:val="24"/>
                <w:szCs w:val="22"/>
                <w:vertAlign w:val="superscript"/>
              </w:rPr>
              <w:t>e</w:t>
            </w:r>
            <w:r w:rsidR="00B54714" w:rsidRPr="00E65078">
              <w:rPr>
                <w:sz w:val="24"/>
                <w:szCs w:val="22"/>
              </w:rPr>
              <w:t xml:space="preserve"> </w:t>
            </w:r>
            <w:r w:rsidR="00B54714">
              <w:rPr>
                <w:rFonts w:hint="eastAsia"/>
                <w:sz w:val="24"/>
                <w:szCs w:val="22"/>
              </w:rPr>
              <w:t>适用于</w:t>
            </w:r>
            <w:r w:rsidR="00B54714">
              <w:rPr>
                <w:rFonts w:hint="eastAsia"/>
                <w:sz w:val="24"/>
                <w:szCs w:val="22"/>
              </w:rPr>
              <w:t>65t/h</w:t>
            </w:r>
            <w:r w:rsidR="00B54714">
              <w:rPr>
                <w:rFonts w:hint="eastAsia"/>
                <w:sz w:val="24"/>
                <w:szCs w:val="22"/>
              </w:rPr>
              <w:t>及以下的蒸汽、</w:t>
            </w:r>
            <w:proofErr w:type="gramStart"/>
            <w:r w:rsidR="00B54714">
              <w:rPr>
                <w:rFonts w:hint="eastAsia"/>
                <w:sz w:val="24"/>
                <w:szCs w:val="22"/>
              </w:rPr>
              <w:t>热水机</w:t>
            </w:r>
            <w:proofErr w:type="gramEnd"/>
            <w:r w:rsidR="00B54714">
              <w:rPr>
                <w:rFonts w:hint="eastAsia"/>
                <w:sz w:val="24"/>
                <w:szCs w:val="22"/>
              </w:rPr>
              <w:t>有机热载体锅炉，包含层燃炉</w:t>
            </w:r>
            <w:r w:rsidR="00B54714" w:rsidRPr="00E65078">
              <w:rPr>
                <w:sz w:val="24"/>
                <w:szCs w:val="22"/>
              </w:rPr>
              <w:t>。</w:t>
            </w:r>
          </w:p>
          <w:p w14:paraId="281B5CA7" w14:textId="564EB37A" w:rsidR="00841576" w:rsidRDefault="00841576" w:rsidP="00E65078">
            <w:pPr>
              <w:autoSpaceDE w:val="0"/>
              <w:autoSpaceDN w:val="0"/>
              <w:adjustRightInd w:val="0"/>
              <w:spacing w:line="360" w:lineRule="exact"/>
              <w:ind w:firstLineChars="0" w:firstLine="0"/>
              <w:rPr>
                <w:sz w:val="24"/>
                <w:szCs w:val="22"/>
              </w:rPr>
            </w:pPr>
            <w:r>
              <w:rPr>
                <w:rFonts w:hint="eastAsia"/>
                <w:sz w:val="24"/>
                <w:szCs w:val="22"/>
                <w:vertAlign w:val="superscript"/>
              </w:rPr>
              <w:t>f</w:t>
            </w:r>
            <w:r w:rsidRPr="00E65078">
              <w:rPr>
                <w:sz w:val="24"/>
                <w:szCs w:val="22"/>
              </w:rPr>
              <w:t xml:space="preserve"> </w:t>
            </w:r>
            <w:r>
              <w:rPr>
                <w:rFonts w:hint="eastAsia"/>
                <w:sz w:val="24"/>
                <w:szCs w:val="22"/>
              </w:rPr>
              <w:t>分别为适用于</w:t>
            </w:r>
            <w:r>
              <w:rPr>
                <w:rFonts w:hint="eastAsia"/>
                <w:sz w:val="24"/>
                <w:szCs w:val="22"/>
              </w:rPr>
              <w:t>SNCR</w:t>
            </w:r>
            <w:r>
              <w:rPr>
                <w:rFonts w:hint="eastAsia"/>
                <w:sz w:val="24"/>
                <w:szCs w:val="22"/>
              </w:rPr>
              <w:t>脱硝</w:t>
            </w:r>
            <w:r>
              <w:rPr>
                <w:rFonts w:hint="eastAsia"/>
                <w:sz w:val="24"/>
                <w:szCs w:val="22"/>
              </w:rPr>
              <w:t>/SCR</w:t>
            </w:r>
            <w:r>
              <w:rPr>
                <w:rFonts w:hint="eastAsia"/>
                <w:sz w:val="24"/>
                <w:szCs w:val="22"/>
              </w:rPr>
              <w:t>及新建</w:t>
            </w:r>
            <w:r>
              <w:rPr>
                <w:rFonts w:hint="eastAsia"/>
                <w:sz w:val="24"/>
                <w:szCs w:val="22"/>
              </w:rPr>
              <w:t>SNCR-SCR</w:t>
            </w:r>
            <w:r>
              <w:rPr>
                <w:rFonts w:hint="eastAsia"/>
                <w:sz w:val="24"/>
                <w:szCs w:val="22"/>
              </w:rPr>
              <w:t>脱硝</w:t>
            </w:r>
            <w:r>
              <w:rPr>
                <w:rFonts w:hint="eastAsia"/>
                <w:sz w:val="24"/>
                <w:szCs w:val="22"/>
              </w:rPr>
              <w:t>/</w:t>
            </w:r>
            <w:r>
              <w:rPr>
                <w:rFonts w:hint="eastAsia"/>
                <w:sz w:val="24"/>
                <w:szCs w:val="22"/>
              </w:rPr>
              <w:t>在用</w:t>
            </w:r>
            <w:r>
              <w:rPr>
                <w:rFonts w:hint="eastAsia"/>
                <w:sz w:val="24"/>
                <w:szCs w:val="22"/>
              </w:rPr>
              <w:t>SNCR-SCR</w:t>
            </w:r>
            <w:r>
              <w:rPr>
                <w:rFonts w:hint="eastAsia"/>
                <w:sz w:val="24"/>
                <w:szCs w:val="22"/>
              </w:rPr>
              <w:t>脱硝</w:t>
            </w:r>
            <w:r>
              <w:rPr>
                <w:rFonts w:hint="eastAsia"/>
                <w:sz w:val="24"/>
                <w:szCs w:val="22"/>
              </w:rPr>
              <w:t>/</w:t>
            </w:r>
            <w:proofErr w:type="gramStart"/>
            <w:r>
              <w:rPr>
                <w:rFonts w:hint="eastAsia"/>
                <w:sz w:val="24"/>
                <w:szCs w:val="22"/>
              </w:rPr>
              <w:t>氨法脱硫</w:t>
            </w:r>
            <w:proofErr w:type="gramEnd"/>
            <w:r w:rsidRPr="00E65078">
              <w:rPr>
                <w:sz w:val="24"/>
                <w:szCs w:val="22"/>
              </w:rPr>
              <w:t>。</w:t>
            </w:r>
          </w:p>
        </w:tc>
      </w:tr>
    </w:tbl>
    <w:p w14:paraId="198404A8" w14:textId="658FEC3F" w:rsidR="00533225" w:rsidRDefault="00533225">
      <w:pPr>
        <w:autoSpaceDE w:val="0"/>
        <w:autoSpaceDN w:val="0"/>
        <w:adjustRightInd w:val="0"/>
        <w:spacing w:line="560" w:lineRule="exact"/>
        <w:ind w:firstLine="640"/>
        <w:rPr>
          <w:szCs w:val="28"/>
        </w:rPr>
      </w:pPr>
      <w:r w:rsidRPr="00533225">
        <w:rPr>
          <w:szCs w:val="28"/>
        </w:rPr>
        <w:t>在不同地区排放限值要求下，当前绝大多数运行生物质锅炉企业的烟气污染控制重点主要集中在颗粒物和氮氧化物。一方面，生物质燃料中硫含量普遍较低，且富含碱金属成分，燃烧过程中生成的二氧化硫浓度相对较低，部分酸性气体可在炉内或飞灰中被中和吸附；</w:t>
      </w:r>
      <w:r w:rsidR="00590F0C" w:rsidRPr="00590F0C">
        <w:rPr>
          <w:szCs w:val="28"/>
        </w:rPr>
        <w:t>另一方面，在缺乏有效控制措施的情况下，氮氧化物和颗粒物排放水平易超过相关排放限值，仍是生物质锅炉运行过程中需要重点管控的主要污染物。因此，生物质锅炉的污染防治设施配置以除尘和脱硝系统为主。</w:t>
      </w:r>
    </w:p>
    <w:p w14:paraId="2DE4BB3A" w14:textId="727B5860" w:rsidR="00590F0C" w:rsidRDefault="00590F0C">
      <w:pPr>
        <w:autoSpaceDE w:val="0"/>
        <w:autoSpaceDN w:val="0"/>
        <w:adjustRightInd w:val="0"/>
        <w:spacing w:line="560" w:lineRule="exact"/>
        <w:ind w:firstLine="640"/>
        <w:rPr>
          <w:szCs w:val="28"/>
        </w:rPr>
      </w:pPr>
      <w:r w:rsidRPr="00590F0C">
        <w:rPr>
          <w:szCs w:val="28"/>
        </w:rPr>
        <w:t>就颗粒物控制而言，其生成量与生物质燃料的灰分含量密切相关。常见生物质燃料中，木本生物质灰分一般为</w:t>
      </w:r>
      <w:r w:rsidRPr="00590F0C">
        <w:rPr>
          <w:szCs w:val="28"/>
        </w:rPr>
        <w:t>0.5%</w:t>
      </w:r>
      <w:r w:rsidRPr="00590F0C">
        <w:rPr>
          <w:szCs w:val="28"/>
        </w:rPr>
        <w:t>～</w:t>
      </w:r>
      <w:r w:rsidRPr="00590F0C">
        <w:rPr>
          <w:szCs w:val="28"/>
        </w:rPr>
        <w:t>3%</w:t>
      </w:r>
      <w:r w:rsidRPr="00590F0C">
        <w:rPr>
          <w:szCs w:val="28"/>
        </w:rPr>
        <w:t>，草本秸秆灰分含量多为</w:t>
      </w:r>
      <w:r w:rsidRPr="00590F0C">
        <w:rPr>
          <w:szCs w:val="28"/>
        </w:rPr>
        <w:t>3%</w:t>
      </w:r>
      <w:r w:rsidRPr="00590F0C">
        <w:rPr>
          <w:szCs w:val="28"/>
        </w:rPr>
        <w:t>～</w:t>
      </w:r>
      <w:r w:rsidRPr="00590F0C">
        <w:rPr>
          <w:szCs w:val="28"/>
        </w:rPr>
        <w:t>10%</w:t>
      </w:r>
      <w:r w:rsidRPr="00590F0C">
        <w:rPr>
          <w:szCs w:val="28"/>
        </w:rPr>
        <w:t>，而稻壳、甘蔗渣等燃料的灰分含量可高达</w:t>
      </w:r>
      <w:r w:rsidRPr="00590F0C">
        <w:rPr>
          <w:szCs w:val="28"/>
        </w:rPr>
        <w:t>10%</w:t>
      </w:r>
      <w:r w:rsidRPr="00590F0C">
        <w:rPr>
          <w:szCs w:val="28"/>
        </w:rPr>
        <w:t>～</w:t>
      </w:r>
      <w:r w:rsidRPr="00590F0C">
        <w:rPr>
          <w:szCs w:val="28"/>
        </w:rPr>
        <w:t>20%</w:t>
      </w:r>
      <w:r w:rsidRPr="00590F0C">
        <w:rPr>
          <w:szCs w:val="28"/>
        </w:rPr>
        <w:t>。不同燃料燃烧后产生的飞灰量差异显著，导致生物质锅炉在不同应用场景下对除尘技术的适配性存在明显差异。</w:t>
      </w:r>
    </w:p>
    <w:p w14:paraId="7BBB3AE5" w14:textId="7895876E" w:rsidR="00590F0C" w:rsidRDefault="00590F0C">
      <w:pPr>
        <w:autoSpaceDE w:val="0"/>
        <w:autoSpaceDN w:val="0"/>
        <w:adjustRightInd w:val="0"/>
        <w:spacing w:line="560" w:lineRule="exact"/>
        <w:ind w:firstLine="640"/>
        <w:rPr>
          <w:szCs w:val="28"/>
        </w:rPr>
      </w:pPr>
      <w:r w:rsidRPr="00590F0C">
        <w:rPr>
          <w:szCs w:val="28"/>
        </w:rPr>
        <w:t>同时，生物质燃料中碱金属含量较高，其燃烧后形成的飞灰颗粒粒径普遍小于燃煤飞灰，且硅、铝等成分含量较低，颗粒荷电性能较差，静电除尘效率相对受限；叠加生物质锅炉整体生产</w:t>
      </w:r>
      <w:r w:rsidRPr="00590F0C">
        <w:rPr>
          <w:szCs w:val="28"/>
        </w:rPr>
        <w:lastRenderedPageBreak/>
        <w:t>负荷和烟气量低于燃煤锅炉等特点，在综合考虑除尘效率、运行稳定性和经济性的基础上，袋式除尘技术更适用于生物质锅炉工程应用。</w:t>
      </w:r>
    </w:p>
    <w:p w14:paraId="5DA9A226" w14:textId="280F1BDB" w:rsidR="00590F0C" w:rsidRDefault="00590F0C">
      <w:pPr>
        <w:autoSpaceDE w:val="0"/>
        <w:autoSpaceDN w:val="0"/>
        <w:adjustRightInd w:val="0"/>
        <w:spacing w:line="560" w:lineRule="exact"/>
        <w:ind w:firstLine="640"/>
        <w:rPr>
          <w:szCs w:val="28"/>
        </w:rPr>
      </w:pPr>
      <w:r w:rsidRPr="00590F0C">
        <w:rPr>
          <w:szCs w:val="28"/>
        </w:rPr>
        <w:t>根据不完全统计结果（见图</w:t>
      </w:r>
      <w:r w:rsidR="00E723AE">
        <w:rPr>
          <w:rFonts w:hint="eastAsia"/>
          <w:szCs w:val="28"/>
        </w:rPr>
        <w:t>8</w:t>
      </w:r>
      <w:r w:rsidRPr="00590F0C">
        <w:rPr>
          <w:szCs w:val="28"/>
        </w:rPr>
        <w:t>），当前生物质锅炉颗粒物控制技术以袋式除尘为主，其次为静电除尘器，部分企业采用袋式除尘与其他技术相结合的多技术协同治理方式。在全国范围内，单独采用袋式除尘技术的比例约为</w:t>
      </w:r>
      <w:r w:rsidRPr="00590F0C">
        <w:rPr>
          <w:szCs w:val="28"/>
        </w:rPr>
        <w:t>41.9%</w:t>
      </w:r>
      <w:r w:rsidRPr="00590F0C">
        <w:rPr>
          <w:szCs w:val="28"/>
        </w:rPr>
        <w:t>，多技术组合应用比例超过</w:t>
      </w:r>
      <w:r w:rsidRPr="00590F0C">
        <w:rPr>
          <w:szCs w:val="28"/>
        </w:rPr>
        <w:t>80%</w:t>
      </w:r>
      <w:r w:rsidRPr="00590F0C">
        <w:rPr>
          <w:szCs w:val="28"/>
        </w:rPr>
        <w:t>，而单独采用静电除尘技术的比例为</w:t>
      </w:r>
      <w:r w:rsidRPr="00590F0C">
        <w:rPr>
          <w:szCs w:val="28"/>
        </w:rPr>
        <w:t>9.9%</w:t>
      </w:r>
      <w:r w:rsidRPr="00590F0C">
        <w:rPr>
          <w:szCs w:val="28"/>
        </w:rPr>
        <w:t>。相比之下，广西壮族自治区袋式除尘与静电除尘技术的应用比例较为接近，均为</w:t>
      </w:r>
      <w:r w:rsidRPr="00590F0C">
        <w:rPr>
          <w:szCs w:val="28"/>
        </w:rPr>
        <w:t>38.4%</w:t>
      </w:r>
      <w:r w:rsidRPr="00590F0C">
        <w:rPr>
          <w:szCs w:val="28"/>
        </w:rPr>
        <w:t>，多技术组合应用比例约为</w:t>
      </w:r>
      <w:r w:rsidRPr="00590F0C">
        <w:rPr>
          <w:szCs w:val="28"/>
        </w:rPr>
        <w:t>23%</w:t>
      </w:r>
      <w:r w:rsidRPr="00590F0C">
        <w:rPr>
          <w:szCs w:val="28"/>
        </w:rPr>
        <w:t>。</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6"/>
        <w:gridCol w:w="4176"/>
      </w:tblGrid>
      <w:tr w:rsidR="00590F0C" w14:paraId="35949A49" w14:textId="77777777" w:rsidTr="00590F0C">
        <w:trPr>
          <w:jc w:val="center"/>
        </w:trPr>
        <w:tc>
          <w:tcPr>
            <w:tcW w:w="4086" w:type="dxa"/>
          </w:tcPr>
          <w:p w14:paraId="61310FE5" w14:textId="7B32F2F9" w:rsidR="00590F0C" w:rsidRPr="00590F0C" w:rsidRDefault="00590F0C" w:rsidP="00590F0C">
            <w:pPr>
              <w:autoSpaceDE w:val="0"/>
              <w:autoSpaceDN w:val="0"/>
              <w:adjustRightInd w:val="0"/>
              <w:ind w:firstLineChars="0" w:firstLine="0"/>
              <w:jc w:val="center"/>
              <w:rPr>
                <w:rFonts w:ascii="Times New Roman"/>
                <w:sz w:val="24"/>
                <w:szCs w:val="22"/>
              </w:rPr>
            </w:pPr>
            <w:r w:rsidRPr="00590F0C">
              <w:rPr>
                <w:rFonts w:ascii="Times New Roman"/>
                <w:sz w:val="24"/>
                <w:szCs w:val="22"/>
              </w:rPr>
              <w:t>（</w:t>
            </w:r>
            <w:r w:rsidRPr="00590F0C">
              <w:rPr>
                <w:rFonts w:eastAsia="宋体"/>
                <w:noProof/>
                <w:sz w:val="24"/>
                <w:szCs w:val="22"/>
              </w:rPr>
              <w:drawing>
                <wp:anchor distT="0" distB="0" distL="114300" distR="114300" simplePos="0" relativeHeight="251651072" behindDoc="0" locked="0" layoutInCell="1" allowOverlap="1" wp14:anchorId="529B96C8" wp14:editId="4B0233D5">
                  <wp:simplePos x="0" y="0"/>
                  <wp:positionH relativeFrom="column">
                    <wp:posOffset>1044</wp:posOffset>
                  </wp:positionH>
                  <wp:positionV relativeFrom="paragraph">
                    <wp:posOffset>-1622356</wp:posOffset>
                  </wp:positionV>
                  <wp:extent cx="2447925" cy="1897380"/>
                  <wp:effectExtent l="0" t="0" r="9525" b="7620"/>
                  <wp:wrapTopAndBottom/>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447925" cy="1897380"/>
                          </a:xfrm>
                          <a:prstGeom prst="rect">
                            <a:avLst/>
                          </a:prstGeom>
                        </pic:spPr>
                      </pic:pic>
                    </a:graphicData>
                  </a:graphic>
                  <wp14:sizeRelH relativeFrom="page">
                    <wp14:pctWidth>0</wp14:pctWidth>
                  </wp14:sizeRelH>
                  <wp14:sizeRelV relativeFrom="page">
                    <wp14:pctHeight>0</wp14:pctHeight>
                  </wp14:sizeRelV>
                </wp:anchor>
              </w:drawing>
            </w:r>
            <w:r w:rsidRPr="00590F0C">
              <w:rPr>
                <w:rFonts w:ascii="Times New Roman"/>
                <w:sz w:val="24"/>
                <w:szCs w:val="22"/>
              </w:rPr>
              <w:t>a</w:t>
            </w:r>
            <w:r w:rsidRPr="00590F0C">
              <w:rPr>
                <w:rFonts w:ascii="Times New Roman"/>
                <w:sz w:val="24"/>
                <w:szCs w:val="22"/>
              </w:rPr>
              <w:t>）全国</w:t>
            </w:r>
          </w:p>
        </w:tc>
        <w:tc>
          <w:tcPr>
            <w:tcW w:w="4176" w:type="dxa"/>
          </w:tcPr>
          <w:p w14:paraId="323BA779" w14:textId="258525A1" w:rsidR="00590F0C" w:rsidRPr="00590F0C" w:rsidRDefault="00590F0C" w:rsidP="00590F0C">
            <w:pPr>
              <w:autoSpaceDE w:val="0"/>
              <w:autoSpaceDN w:val="0"/>
              <w:adjustRightInd w:val="0"/>
              <w:ind w:firstLineChars="0" w:firstLine="0"/>
              <w:jc w:val="center"/>
              <w:rPr>
                <w:rFonts w:ascii="Times New Roman"/>
                <w:sz w:val="24"/>
                <w:szCs w:val="22"/>
              </w:rPr>
            </w:pPr>
            <w:r w:rsidRPr="00590F0C">
              <w:rPr>
                <w:rFonts w:ascii="Times New Roman"/>
                <w:sz w:val="24"/>
                <w:szCs w:val="22"/>
              </w:rPr>
              <w:t>（</w:t>
            </w:r>
            <w:r w:rsidRPr="00590F0C">
              <w:rPr>
                <w:rFonts w:ascii="Times New Roman"/>
                <w:sz w:val="24"/>
                <w:szCs w:val="22"/>
              </w:rPr>
              <w:t>b</w:t>
            </w:r>
            <w:r w:rsidRPr="00590F0C">
              <w:rPr>
                <w:rFonts w:eastAsia="宋体"/>
                <w:noProof/>
                <w:sz w:val="24"/>
                <w:szCs w:val="22"/>
              </w:rPr>
              <w:drawing>
                <wp:anchor distT="0" distB="0" distL="114300" distR="114300" simplePos="0" relativeHeight="251663360" behindDoc="0" locked="0" layoutInCell="1" allowOverlap="1" wp14:anchorId="5791DB6B" wp14:editId="17A55A88">
                  <wp:simplePos x="0" y="0"/>
                  <wp:positionH relativeFrom="column">
                    <wp:posOffset>-635</wp:posOffset>
                  </wp:positionH>
                  <wp:positionV relativeFrom="paragraph">
                    <wp:posOffset>0</wp:posOffset>
                  </wp:positionV>
                  <wp:extent cx="2511306" cy="1897200"/>
                  <wp:effectExtent l="0" t="0" r="3810" b="8255"/>
                  <wp:wrapTopAndBottom/>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511306" cy="1897200"/>
                          </a:xfrm>
                          <a:prstGeom prst="rect">
                            <a:avLst/>
                          </a:prstGeom>
                        </pic:spPr>
                      </pic:pic>
                    </a:graphicData>
                  </a:graphic>
                  <wp14:sizeRelH relativeFrom="page">
                    <wp14:pctWidth>0</wp14:pctWidth>
                  </wp14:sizeRelH>
                  <wp14:sizeRelV relativeFrom="page">
                    <wp14:pctHeight>0</wp14:pctHeight>
                  </wp14:sizeRelV>
                </wp:anchor>
              </w:drawing>
            </w:r>
            <w:r w:rsidRPr="00590F0C">
              <w:rPr>
                <w:rFonts w:ascii="Times New Roman"/>
                <w:sz w:val="24"/>
                <w:szCs w:val="22"/>
              </w:rPr>
              <w:t>）广西壮族自治区</w:t>
            </w:r>
          </w:p>
        </w:tc>
      </w:tr>
    </w:tbl>
    <w:p w14:paraId="46A72EA4" w14:textId="696F0A1C" w:rsidR="00590F0C" w:rsidRPr="00590F0C" w:rsidRDefault="00590F0C" w:rsidP="00590F0C">
      <w:pPr>
        <w:autoSpaceDE w:val="0"/>
        <w:autoSpaceDN w:val="0"/>
        <w:adjustRightInd w:val="0"/>
        <w:spacing w:line="560" w:lineRule="exact"/>
        <w:ind w:firstLineChars="0" w:firstLine="0"/>
        <w:jc w:val="center"/>
        <w:rPr>
          <w:szCs w:val="28"/>
        </w:rPr>
      </w:pPr>
      <w:r w:rsidRPr="00590F0C">
        <w:rPr>
          <w:szCs w:val="28"/>
        </w:rPr>
        <w:t>图</w:t>
      </w:r>
      <w:r w:rsidR="00E723AE">
        <w:rPr>
          <w:rFonts w:hint="eastAsia"/>
          <w:szCs w:val="28"/>
        </w:rPr>
        <w:t>8</w:t>
      </w:r>
      <w:r w:rsidRPr="00590F0C">
        <w:rPr>
          <w:szCs w:val="28"/>
        </w:rPr>
        <w:t xml:space="preserve"> </w:t>
      </w:r>
      <w:r w:rsidRPr="00590F0C">
        <w:rPr>
          <w:szCs w:val="28"/>
        </w:rPr>
        <w:t>生物质锅炉颗粒物控制技术分布（按</w:t>
      </w:r>
      <w:r w:rsidR="00B112D1" w:rsidRPr="00B112D1">
        <w:rPr>
          <w:rFonts w:hint="eastAsia"/>
          <w:szCs w:val="28"/>
        </w:rPr>
        <w:t>安装台数</w:t>
      </w:r>
      <w:r w:rsidRPr="00590F0C">
        <w:rPr>
          <w:szCs w:val="28"/>
        </w:rPr>
        <w:t>）</w:t>
      </w:r>
    </w:p>
    <w:p w14:paraId="60A42D17" w14:textId="4B9545A7" w:rsidR="00EC4C3B" w:rsidRDefault="00EC4C3B" w:rsidP="00EC4C3B">
      <w:pPr>
        <w:autoSpaceDE w:val="0"/>
        <w:autoSpaceDN w:val="0"/>
        <w:adjustRightInd w:val="0"/>
        <w:spacing w:line="560" w:lineRule="exact"/>
        <w:ind w:firstLine="640"/>
        <w:rPr>
          <w:szCs w:val="28"/>
        </w:rPr>
      </w:pPr>
      <w:r>
        <w:rPr>
          <w:rFonts w:hint="eastAsia"/>
          <w:szCs w:val="28"/>
        </w:rPr>
        <w:t>生物质锅炉氮氧化物（</w:t>
      </w:r>
      <w:r w:rsidRPr="00EC4C3B">
        <w:rPr>
          <w:szCs w:val="28"/>
        </w:rPr>
        <w:t>NO</w:t>
      </w:r>
      <w:r w:rsidRPr="00EC4C3B">
        <w:rPr>
          <w:rFonts w:hint="eastAsia"/>
          <w:i/>
          <w:iCs/>
          <w:szCs w:val="28"/>
          <w:vertAlign w:val="subscript"/>
        </w:rPr>
        <w:t>x</w:t>
      </w:r>
      <w:r>
        <w:rPr>
          <w:rFonts w:hint="eastAsia"/>
          <w:szCs w:val="28"/>
        </w:rPr>
        <w:t>）</w:t>
      </w:r>
      <w:r w:rsidRPr="00EC4C3B">
        <w:rPr>
          <w:szCs w:val="28"/>
        </w:rPr>
        <w:t>控制技术</w:t>
      </w:r>
      <w:r>
        <w:rPr>
          <w:rFonts w:hint="eastAsia"/>
          <w:szCs w:val="28"/>
        </w:rPr>
        <w:t>的应用情况</w:t>
      </w:r>
      <w:r w:rsidRPr="00EC4C3B">
        <w:rPr>
          <w:szCs w:val="28"/>
        </w:rPr>
        <w:t>如图</w:t>
      </w:r>
      <w:r w:rsidR="00E723AE">
        <w:rPr>
          <w:rFonts w:hint="eastAsia"/>
          <w:szCs w:val="28"/>
        </w:rPr>
        <w:t>9</w:t>
      </w:r>
      <w:r w:rsidRPr="00EC4C3B">
        <w:rPr>
          <w:szCs w:val="28"/>
        </w:rPr>
        <w:t>所示。全国范围内，生物质锅炉以源头控制措施为主，其中约</w:t>
      </w:r>
      <w:r w:rsidRPr="00EC4C3B">
        <w:rPr>
          <w:szCs w:val="28"/>
        </w:rPr>
        <w:t>50.8%</w:t>
      </w:r>
      <w:r w:rsidRPr="00EC4C3B">
        <w:rPr>
          <w:szCs w:val="28"/>
        </w:rPr>
        <w:t>的锅炉</w:t>
      </w:r>
      <w:proofErr w:type="gramStart"/>
      <w:r w:rsidRPr="00EC4C3B">
        <w:rPr>
          <w:szCs w:val="28"/>
        </w:rPr>
        <w:t>采用低氮燃烧</w:t>
      </w:r>
      <w:proofErr w:type="gramEnd"/>
      <w:r w:rsidRPr="00EC4C3B">
        <w:rPr>
          <w:szCs w:val="28"/>
        </w:rPr>
        <w:t>技术，其次为选择性非催化还原（</w:t>
      </w:r>
      <w:r w:rsidRPr="00EC4C3B">
        <w:rPr>
          <w:szCs w:val="28"/>
        </w:rPr>
        <w:t>SNCR</w:t>
      </w:r>
      <w:r w:rsidRPr="00EC4C3B">
        <w:rPr>
          <w:szCs w:val="28"/>
        </w:rPr>
        <w:t>）技术；在排放要求较为严格的地区，约</w:t>
      </w:r>
      <w:r w:rsidRPr="00EC4C3B">
        <w:rPr>
          <w:szCs w:val="28"/>
        </w:rPr>
        <w:t>9.3%</w:t>
      </w:r>
      <w:r w:rsidRPr="00EC4C3B">
        <w:rPr>
          <w:szCs w:val="28"/>
        </w:rPr>
        <w:t>的锅炉采用</w:t>
      </w:r>
      <w:r w:rsidRPr="00EC4C3B">
        <w:rPr>
          <w:szCs w:val="28"/>
        </w:rPr>
        <w:t>SNCR</w:t>
      </w:r>
      <w:r w:rsidRPr="00EC4C3B">
        <w:rPr>
          <w:szCs w:val="28"/>
        </w:rPr>
        <w:t>与选择性催化还原（</w:t>
      </w:r>
      <w:r w:rsidRPr="00EC4C3B">
        <w:rPr>
          <w:szCs w:val="28"/>
        </w:rPr>
        <w:t>SCR</w:t>
      </w:r>
      <w:r w:rsidRPr="00EC4C3B">
        <w:rPr>
          <w:szCs w:val="28"/>
        </w:rPr>
        <w:t>）相结合的脱硝技术路线。总体来看，生物质锅炉在</w:t>
      </w:r>
      <w:r w:rsidRPr="00EC4C3B">
        <w:rPr>
          <w:szCs w:val="28"/>
        </w:rPr>
        <w:t>NO</w:t>
      </w:r>
      <w:r w:rsidRPr="00EC4C3B">
        <w:rPr>
          <w:i/>
          <w:iCs/>
          <w:szCs w:val="28"/>
          <w:vertAlign w:val="subscript"/>
        </w:rPr>
        <w:t>x</w:t>
      </w:r>
      <w:r w:rsidRPr="00EC4C3B">
        <w:rPr>
          <w:szCs w:val="28"/>
        </w:rPr>
        <w:t>控制方面仍以低成本、</w:t>
      </w:r>
      <w:proofErr w:type="gramStart"/>
      <w:r w:rsidRPr="00EC4C3B">
        <w:rPr>
          <w:szCs w:val="28"/>
        </w:rPr>
        <w:t>低复杂</w:t>
      </w:r>
      <w:proofErr w:type="gramEnd"/>
      <w:r w:rsidRPr="00EC4C3B">
        <w:rPr>
          <w:szCs w:val="28"/>
        </w:rPr>
        <w:t>度技术为主，深度脱硝技术的应用比例相对较低。</w:t>
      </w:r>
      <w:r>
        <w:rPr>
          <w:rFonts w:hint="eastAsia"/>
          <w:szCs w:val="28"/>
        </w:rPr>
        <w:t>就</w:t>
      </w:r>
      <w:r w:rsidRPr="00EC4C3B">
        <w:rPr>
          <w:szCs w:val="28"/>
        </w:rPr>
        <w:t>广西壮族自治区的统计结果</w:t>
      </w:r>
      <w:r>
        <w:rPr>
          <w:rFonts w:hint="eastAsia"/>
          <w:szCs w:val="28"/>
        </w:rPr>
        <w:t>而言</w:t>
      </w:r>
      <w:r w:rsidRPr="00EC4C3B">
        <w:rPr>
          <w:szCs w:val="28"/>
        </w:rPr>
        <w:t>，</w:t>
      </w:r>
      <w:r w:rsidRPr="00EC4C3B">
        <w:rPr>
          <w:szCs w:val="28"/>
        </w:rPr>
        <w:lastRenderedPageBreak/>
        <w:t>NO</w:t>
      </w:r>
      <w:r w:rsidRPr="00EC4C3B">
        <w:rPr>
          <w:i/>
          <w:iCs/>
          <w:szCs w:val="28"/>
          <w:vertAlign w:val="subscript"/>
        </w:rPr>
        <w:t>x</w:t>
      </w:r>
      <w:r w:rsidRPr="00EC4C3B">
        <w:rPr>
          <w:szCs w:val="28"/>
        </w:rPr>
        <w:t>控制技术配置特征更为明显：</w:t>
      </w:r>
      <w:proofErr w:type="gramStart"/>
      <w:r w:rsidRPr="00EC4C3B">
        <w:rPr>
          <w:szCs w:val="28"/>
        </w:rPr>
        <w:t>低氮燃烧</w:t>
      </w:r>
      <w:proofErr w:type="gramEnd"/>
      <w:r w:rsidRPr="00EC4C3B">
        <w:rPr>
          <w:szCs w:val="28"/>
        </w:rPr>
        <w:t>技术的应用比例超过</w:t>
      </w:r>
      <w:r w:rsidRPr="00EC4C3B">
        <w:rPr>
          <w:szCs w:val="28"/>
        </w:rPr>
        <w:t>80%</w:t>
      </w:r>
      <w:r w:rsidRPr="00EC4C3B">
        <w:rPr>
          <w:szCs w:val="28"/>
        </w:rPr>
        <w:t>，</w:t>
      </w:r>
      <w:r w:rsidRPr="00EC4C3B">
        <w:rPr>
          <w:szCs w:val="28"/>
        </w:rPr>
        <w:t>SNCR</w:t>
      </w:r>
      <w:r w:rsidRPr="00EC4C3B">
        <w:rPr>
          <w:szCs w:val="28"/>
        </w:rPr>
        <w:t>技术的应用比例接近</w:t>
      </w:r>
      <w:r w:rsidRPr="00EC4C3B">
        <w:rPr>
          <w:szCs w:val="28"/>
        </w:rPr>
        <w:t>13%</w:t>
      </w:r>
      <w:r w:rsidRPr="00EC4C3B">
        <w:rPr>
          <w:szCs w:val="28"/>
        </w:rPr>
        <w:t>，而</w:t>
      </w:r>
      <w:r w:rsidRPr="00EC4C3B">
        <w:rPr>
          <w:szCs w:val="28"/>
        </w:rPr>
        <w:t>SCR</w:t>
      </w:r>
      <w:r w:rsidRPr="00EC4C3B">
        <w:rPr>
          <w:szCs w:val="28"/>
        </w:rPr>
        <w:t>及</w:t>
      </w:r>
      <w:r w:rsidRPr="00EC4C3B">
        <w:rPr>
          <w:szCs w:val="28"/>
        </w:rPr>
        <w:t>SCR+SNCR</w:t>
      </w:r>
      <w:r w:rsidRPr="00EC4C3B">
        <w:rPr>
          <w:szCs w:val="28"/>
        </w:rPr>
        <w:t>等深度脱硝技术的应用比例不足</w:t>
      </w:r>
      <w:r w:rsidRPr="00EC4C3B">
        <w:rPr>
          <w:szCs w:val="28"/>
        </w:rPr>
        <w:t>4%</w:t>
      </w:r>
      <w:r w:rsidRPr="00EC4C3B">
        <w:rPr>
          <w:szCs w:val="28"/>
        </w:rPr>
        <w:t>。</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6"/>
        <w:gridCol w:w="4176"/>
      </w:tblGrid>
      <w:tr w:rsidR="00EC4C3B" w14:paraId="4E3A668A" w14:textId="77777777" w:rsidTr="00084192">
        <w:trPr>
          <w:jc w:val="center"/>
        </w:trPr>
        <w:tc>
          <w:tcPr>
            <w:tcW w:w="4086" w:type="dxa"/>
          </w:tcPr>
          <w:p w14:paraId="69BB2D34" w14:textId="0E016594" w:rsidR="00EC4C3B" w:rsidRPr="00590F0C" w:rsidRDefault="00EC4C3B" w:rsidP="00084192">
            <w:pPr>
              <w:autoSpaceDE w:val="0"/>
              <w:autoSpaceDN w:val="0"/>
              <w:adjustRightInd w:val="0"/>
              <w:ind w:firstLineChars="0" w:firstLine="0"/>
              <w:jc w:val="center"/>
              <w:rPr>
                <w:rFonts w:ascii="Times New Roman"/>
                <w:sz w:val="24"/>
                <w:szCs w:val="22"/>
              </w:rPr>
            </w:pPr>
            <w:r w:rsidRPr="00EC4C3B">
              <w:rPr>
                <w:rFonts w:eastAsia="宋体"/>
                <w:noProof/>
                <w:sz w:val="21"/>
              </w:rPr>
              <w:drawing>
                <wp:inline distT="0" distB="0" distL="114300" distR="114300" wp14:anchorId="66A286A0" wp14:editId="04139A3F">
                  <wp:extent cx="2302510" cy="1748155"/>
                  <wp:effectExtent l="0" t="0" r="8890" b="4445"/>
                  <wp:docPr id="495293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2302510" cy="1748155"/>
                          </a:xfrm>
                          <a:prstGeom prst="rect">
                            <a:avLst/>
                          </a:prstGeom>
                        </pic:spPr>
                      </pic:pic>
                    </a:graphicData>
                  </a:graphic>
                </wp:inline>
              </w:drawing>
            </w:r>
            <w:r w:rsidRPr="00590F0C">
              <w:rPr>
                <w:rFonts w:ascii="Times New Roman"/>
                <w:sz w:val="24"/>
                <w:szCs w:val="22"/>
              </w:rPr>
              <w:t>（</w:t>
            </w:r>
            <w:r w:rsidRPr="00590F0C">
              <w:rPr>
                <w:rFonts w:ascii="Times New Roman"/>
                <w:sz w:val="24"/>
                <w:szCs w:val="22"/>
              </w:rPr>
              <w:t>a</w:t>
            </w:r>
            <w:r w:rsidRPr="00590F0C">
              <w:rPr>
                <w:rFonts w:ascii="Times New Roman"/>
                <w:sz w:val="24"/>
                <w:szCs w:val="22"/>
              </w:rPr>
              <w:t>）全国</w:t>
            </w:r>
          </w:p>
        </w:tc>
        <w:tc>
          <w:tcPr>
            <w:tcW w:w="4176" w:type="dxa"/>
          </w:tcPr>
          <w:p w14:paraId="418037BA" w14:textId="77777777" w:rsidR="00EC4C3B" w:rsidRDefault="00EC4C3B" w:rsidP="00084192">
            <w:pPr>
              <w:autoSpaceDE w:val="0"/>
              <w:autoSpaceDN w:val="0"/>
              <w:adjustRightInd w:val="0"/>
              <w:ind w:firstLineChars="0" w:firstLine="0"/>
              <w:jc w:val="center"/>
              <w:rPr>
                <w:rFonts w:ascii="Times New Roman"/>
                <w:sz w:val="24"/>
                <w:szCs w:val="22"/>
              </w:rPr>
            </w:pPr>
            <w:r w:rsidRPr="00EC4C3B">
              <w:rPr>
                <w:rFonts w:eastAsia="宋体"/>
                <w:noProof/>
                <w:sz w:val="21"/>
              </w:rPr>
              <w:drawing>
                <wp:inline distT="0" distB="0" distL="114300" distR="114300" wp14:anchorId="58C2C890" wp14:editId="525AF5E8">
                  <wp:extent cx="2059388" cy="1702079"/>
                  <wp:effectExtent l="0" t="0" r="0" b="0"/>
                  <wp:docPr id="825318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8"/>
                          <a:stretch>
                            <a:fillRect/>
                          </a:stretch>
                        </pic:blipFill>
                        <pic:spPr>
                          <a:xfrm>
                            <a:off x="0" y="0"/>
                            <a:ext cx="2061116" cy="1703507"/>
                          </a:xfrm>
                          <a:prstGeom prst="rect">
                            <a:avLst/>
                          </a:prstGeom>
                        </pic:spPr>
                      </pic:pic>
                    </a:graphicData>
                  </a:graphic>
                </wp:inline>
              </w:drawing>
            </w:r>
          </w:p>
          <w:p w14:paraId="4CC21F5F" w14:textId="79A81D7D" w:rsidR="00EC4C3B" w:rsidRPr="00590F0C" w:rsidRDefault="00EC4C3B" w:rsidP="00084192">
            <w:pPr>
              <w:autoSpaceDE w:val="0"/>
              <w:autoSpaceDN w:val="0"/>
              <w:adjustRightInd w:val="0"/>
              <w:ind w:firstLineChars="0" w:firstLine="0"/>
              <w:jc w:val="center"/>
              <w:rPr>
                <w:rFonts w:ascii="Times New Roman"/>
                <w:sz w:val="24"/>
                <w:szCs w:val="22"/>
              </w:rPr>
            </w:pPr>
            <w:r w:rsidRPr="00590F0C">
              <w:rPr>
                <w:rFonts w:ascii="Times New Roman"/>
                <w:sz w:val="24"/>
                <w:szCs w:val="22"/>
              </w:rPr>
              <w:t>（</w:t>
            </w:r>
            <w:r w:rsidRPr="00590F0C">
              <w:rPr>
                <w:rFonts w:ascii="Times New Roman"/>
                <w:sz w:val="24"/>
                <w:szCs w:val="22"/>
              </w:rPr>
              <w:t>b</w:t>
            </w:r>
            <w:r w:rsidRPr="00590F0C">
              <w:rPr>
                <w:rFonts w:ascii="Times New Roman"/>
                <w:sz w:val="24"/>
                <w:szCs w:val="22"/>
              </w:rPr>
              <w:t>）广西壮族自治区</w:t>
            </w:r>
          </w:p>
        </w:tc>
      </w:tr>
    </w:tbl>
    <w:p w14:paraId="317C8C9B" w14:textId="695C20B4" w:rsidR="00EC4C3B" w:rsidRPr="00590F0C" w:rsidRDefault="00EC4C3B" w:rsidP="00EC4C3B">
      <w:pPr>
        <w:autoSpaceDE w:val="0"/>
        <w:autoSpaceDN w:val="0"/>
        <w:adjustRightInd w:val="0"/>
        <w:spacing w:line="560" w:lineRule="exact"/>
        <w:ind w:firstLineChars="0" w:firstLine="0"/>
        <w:jc w:val="center"/>
        <w:rPr>
          <w:szCs w:val="28"/>
        </w:rPr>
      </w:pPr>
      <w:r w:rsidRPr="00590F0C">
        <w:rPr>
          <w:szCs w:val="28"/>
        </w:rPr>
        <w:t>图</w:t>
      </w:r>
      <w:r w:rsidR="00E723AE">
        <w:rPr>
          <w:rFonts w:hint="eastAsia"/>
          <w:szCs w:val="28"/>
        </w:rPr>
        <w:t>9</w:t>
      </w:r>
      <w:r w:rsidRPr="00590F0C">
        <w:rPr>
          <w:szCs w:val="28"/>
        </w:rPr>
        <w:t xml:space="preserve"> </w:t>
      </w:r>
      <w:r w:rsidRPr="00590F0C">
        <w:rPr>
          <w:szCs w:val="28"/>
        </w:rPr>
        <w:t>生物质锅炉</w:t>
      </w:r>
      <w:r>
        <w:rPr>
          <w:rFonts w:hint="eastAsia"/>
          <w:szCs w:val="28"/>
        </w:rPr>
        <w:t>NO</w:t>
      </w:r>
      <w:r w:rsidRPr="00EC4C3B">
        <w:rPr>
          <w:rFonts w:hint="eastAsia"/>
          <w:i/>
          <w:iCs/>
          <w:szCs w:val="28"/>
          <w:vertAlign w:val="subscript"/>
        </w:rPr>
        <w:t>x</w:t>
      </w:r>
      <w:r w:rsidRPr="00590F0C">
        <w:rPr>
          <w:szCs w:val="28"/>
        </w:rPr>
        <w:t>控制技术分布（按</w:t>
      </w:r>
      <w:r w:rsidR="00B112D1" w:rsidRPr="00B112D1">
        <w:rPr>
          <w:rFonts w:hint="eastAsia"/>
          <w:szCs w:val="28"/>
        </w:rPr>
        <w:t>安装台数</w:t>
      </w:r>
      <w:r w:rsidRPr="00590F0C">
        <w:rPr>
          <w:szCs w:val="28"/>
        </w:rPr>
        <w:t>）</w:t>
      </w:r>
    </w:p>
    <w:p w14:paraId="3EB627F6" w14:textId="60FB08FD" w:rsidR="00EC4C3B" w:rsidRDefault="00EC4C3B">
      <w:pPr>
        <w:autoSpaceDE w:val="0"/>
        <w:autoSpaceDN w:val="0"/>
        <w:adjustRightInd w:val="0"/>
        <w:spacing w:line="560" w:lineRule="exact"/>
        <w:ind w:firstLine="640"/>
        <w:rPr>
          <w:szCs w:val="28"/>
        </w:rPr>
      </w:pPr>
      <w:r w:rsidRPr="00EC4C3B">
        <w:rPr>
          <w:szCs w:val="28"/>
        </w:rPr>
        <w:t>据相关文献及编制组调研结果表明，生物质锅炉在部分运行工况下，即使污染物排放指标能够满足现行限值要求，其燃烧效率仍可能偏低，结渣和受热面腐蚀风险较高，生物质能源的清洁、高效利用水平仍存在较大提升空间。上述问题难以仅通过单一排放结果加以识别，更有必要从燃烧过程控制和运行性能角度开展系统分析与评价。</w:t>
      </w:r>
    </w:p>
    <w:p w14:paraId="007E4B10" w14:textId="110B13EB" w:rsidR="00EC4C3B" w:rsidRDefault="00EC4C3B">
      <w:pPr>
        <w:autoSpaceDE w:val="0"/>
        <w:autoSpaceDN w:val="0"/>
        <w:adjustRightInd w:val="0"/>
        <w:spacing w:line="560" w:lineRule="exact"/>
        <w:ind w:firstLine="640"/>
        <w:rPr>
          <w:szCs w:val="28"/>
        </w:rPr>
      </w:pPr>
      <w:r>
        <w:rPr>
          <w:rFonts w:hint="eastAsia"/>
          <w:szCs w:val="28"/>
        </w:rPr>
        <w:t>综合来看</w:t>
      </w:r>
      <w:r w:rsidRPr="00EC4C3B">
        <w:rPr>
          <w:szCs w:val="28"/>
        </w:rPr>
        <w:t>，现行国家政策、标准和监管体系已从装备规范、运行管理和污染物排放控制等方面对生物质锅炉提出了较为明确的要求，为行业规范化发展提供了基础支撑。然而，相关管理与评价仍以合</w:t>
      </w:r>
      <w:proofErr w:type="gramStart"/>
      <w:r w:rsidRPr="00EC4C3B">
        <w:rPr>
          <w:szCs w:val="28"/>
        </w:rPr>
        <w:t>规</w:t>
      </w:r>
      <w:proofErr w:type="gramEnd"/>
      <w:r w:rsidRPr="00EC4C3B">
        <w:rPr>
          <w:szCs w:val="28"/>
        </w:rPr>
        <w:t>性要求和结果性指标为主，对生物质锅炉在燃烧过程控制能力、运行性能差异及清洁利用水平等方面的刻画相对不足。鉴于我国生物质锅炉行业具有规模大、类型多、应用场景复杂以及燃料性质波动显著等特点，单纯依赖排放结果已难以支撑分类型管理、技术改进和政策精准施策的实际需求。</w:t>
      </w:r>
    </w:p>
    <w:p w14:paraId="53EAF1B9" w14:textId="60E8A2A8" w:rsidR="00073888" w:rsidRDefault="00073888">
      <w:pPr>
        <w:autoSpaceDE w:val="0"/>
        <w:autoSpaceDN w:val="0"/>
        <w:adjustRightInd w:val="0"/>
        <w:spacing w:line="560" w:lineRule="exact"/>
        <w:ind w:firstLine="640"/>
        <w:rPr>
          <w:szCs w:val="28"/>
        </w:rPr>
      </w:pPr>
      <w:r w:rsidRPr="00073888">
        <w:rPr>
          <w:szCs w:val="28"/>
        </w:rPr>
        <w:t>因此，有必要在现有标准体系基础上，构建以燃烧过程和运</w:t>
      </w:r>
      <w:r w:rsidRPr="00073888">
        <w:rPr>
          <w:szCs w:val="28"/>
        </w:rPr>
        <w:lastRenderedPageBreak/>
        <w:t>行性能为核心，兼顾污染物协同控制与低碳运行要求的清洁燃烧评价指标体系，对生物质锅炉清洁燃烧水平进行统一、可比和分级评价，为推动生物质锅炉行业高效、清洁和低碳发展提供技术支撑。</w:t>
      </w:r>
    </w:p>
    <w:p w14:paraId="53FA1A84" w14:textId="33D8956C" w:rsidR="00445F8C" w:rsidRDefault="00084192">
      <w:pPr>
        <w:autoSpaceDE w:val="0"/>
        <w:autoSpaceDN w:val="0"/>
        <w:adjustRightInd w:val="0"/>
        <w:spacing w:line="560" w:lineRule="exact"/>
        <w:ind w:firstLine="643"/>
        <w:rPr>
          <w:b/>
          <w:szCs w:val="28"/>
        </w:rPr>
      </w:pPr>
      <w:r>
        <w:rPr>
          <w:b/>
          <w:szCs w:val="28"/>
        </w:rPr>
        <w:t>3</w:t>
      </w:r>
      <w:r>
        <w:rPr>
          <w:b/>
          <w:szCs w:val="28"/>
        </w:rPr>
        <w:t>、行业在其他国家和地区</w:t>
      </w:r>
      <w:r w:rsidR="000E6DB7">
        <w:rPr>
          <w:rFonts w:hint="eastAsia"/>
          <w:b/>
          <w:szCs w:val="28"/>
        </w:rPr>
        <w:t>发展情况</w:t>
      </w:r>
    </w:p>
    <w:p w14:paraId="3CD821CE" w14:textId="77777777" w:rsidR="00445F8C" w:rsidRDefault="00084192">
      <w:pPr>
        <w:autoSpaceDE w:val="0"/>
        <w:autoSpaceDN w:val="0"/>
        <w:adjustRightInd w:val="0"/>
        <w:spacing w:line="560" w:lineRule="exact"/>
        <w:ind w:firstLine="640"/>
        <w:rPr>
          <w:szCs w:val="28"/>
        </w:rPr>
      </w:pPr>
      <w:r>
        <w:rPr>
          <w:szCs w:val="28"/>
        </w:rPr>
        <w:t>作为全球能源转型的重要组成部分，生物质锅炉在欧洲、北美及亚太地区得到广泛应用。国际实践表明，各国在推进生物质锅炉利用过程中，逐步由侧重燃料适应性或单一排放控制，转向对燃烧过程效率、运行稳定性和环境绩效的综合评价与管理，为构建清洁燃烧评价体系提供了重要借鉴。</w:t>
      </w:r>
    </w:p>
    <w:p w14:paraId="4A95AC3C" w14:textId="77777777" w:rsidR="00445F8C" w:rsidRDefault="00084192">
      <w:pPr>
        <w:autoSpaceDE w:val="0"/>
        <w:autoSpaceDN w:val="0"/>
        <w:adjustRightInd w:val="0"/>
        <w:spacing w:line="560" w:lineRule="exact"/>
        <w:ind w:firstLine="640"/>
        <w:rPr>
          <w:szCs w:val="28"/>
        </w:rPr>
      </w:pPr>
      <w:r>
        <w:rPr>
          <w:szCs w:val="28"/>
        </w:rPr>
        <w:t>在欧洲，以丹麦为代表，丹麦能源署发布的生物质能分析报告提出了针对固体生物质燃料的生命周期影响分析和排放核算要求，将燃料可持续性、碳排放绩效与能源利用效率纳入统一评价框架。在企业实践层面，</w:t>
      </w:r>
      <w:r>
        <w:rPr>
          <w:szCs w:val="28"/>
        </w:rPr>
        <w:t xml:space="preserve">Steeper Energy </w:t>
      </w:r>
      <w:r>
        <w:rPr>
          <w:szCs w:val="28"/>
        </w:rPr>
        <w:t>在丹麦开展的清洁能源技术研发与示范项目，体现了绿色低碳技术与政策支持协同推进的发展模式；</w:t>
      </w:r>
      <w:proofErr w:type="spellStart"/>
      <w:r>
        <w:rPr>
          <w:szCs w:val="28"/>
        </w:rPr>
        <w:t>Komptech</w:t>
      </w:r>
      <w:proofErr w:type="spellEnd"/>
      <w:r>
        <w:rPr>
          <w:szCs w:val="28"/>
        </w:rPr>
        <w:t xml:space="preserve"> </w:t>
      </w:r>
      <w:r>
        <w:rPr>
          <w:szCs w:val="28"/>
        </w:rPr>
        <w:t>提供的生物质燃料预处理解决方案，通过提升燃料粒级均</w:t>
      </w:r>
      <w:proofErr w:type="gramStart"/>
      <w:r>
        <w:rPr>
          <w:szCs w:val="28"/>
        </w:rPr>
        <w:t>一</w:t>
      </w:r>
      <w:proofErr w:type="gramEnd"/>
      <w:r>
        <w:rPr>
          <w:szCs w:val="28"/>
        </w:rPr>
        <w:t>性和可控性，为燃烧过程稳定性和效率评价提供了工程基础。</w:t>
      </w:r>
    </w:p>
    <w:p w14:paraId="6AFD4FD0" w14:textId="77777777" w:rsidR="00445F8C" w:rsidRDefault="00084192">
      <w:pPr>
        <w:autoSpaceDE w:val="0"/>
        <w:autoSpaceDN w:val="0"/>
        <w:adjustRightInd w:val="0"/>
        <w:spacing w:line="560" w:lineRule="exact"/>
        <w:ind w:firstLine="640"/>
        <w:rPr>
          <w:szCs w:val="28"/>
        </w:rPr>
      </w:pPr>
      <w:r>
        <w:rPr>
          <w:szCs w:val="28"/>
        </w:rPr>
        <w:t>此外，</w:t>
      </w:r>
      <w:proofErr w:type="spellStart"/>
      <w:r>
        <w:rPr>
          <w:szCs w:val="28"/>
        </w:rPr>
        <w:t>Helsingør</w:t>
      </w:r>
      <w:proofErr w:type="spellEnd"/>
      <w:r>
        <w:rPr>
          <w:szCs w:val="28"/>
        </w:rPr>
        <w:t xml:space="preserve"> </w:t>
      </w:r>
      <w:r>
        <w:rPr>
          <w:szCs w:val="28"/>
        </w:rPr>
        <w:t>生物质热电联产电厂在严格排放约束和城市运行条件下，通过优化燃烧方式、强化运行管理并引入高水平自动化，实现了稳定、高效运行，其运行管理重点已由单纯排放达标转向燃烧过程和综合运行绩效的系统衡量。</w:t>
      </w:r>
    </w:p>
    <w:p w14:paraId="12EBCC7C" w14:textId="56A3CF39" w:rsidR="00445F8C" w:rsidRPr="000E6DB7" w:rsidRDefault="00084192">
      <w:pPr>
        <w:autoSpaceDE w:val="0"/>
        <w:autoSpaceDN w:val="0"/>
        <w:adjustRightInd w:val="0"/>
        <w:spacing w:line="560" w:lineRule="exact"/>
        <w:ind w:firstLine="640"/>
        <w:rPr>
          <w:szCs w:val="28"/>
        </w:rPr>
      </w:pPr>
      <w:r w:rsidRPr="000E6DB7">
        <w:rPr>
          <w:szCs w:val="28"/>
        </w:rPr>
        <w:t>在北美地区，生物质锅炉清洁燃烧管理呈现出由</w:t>
      </w:r>
      <w:r w:rsidRPr="000E6DB7">
        <w:rPr>
          <w:szCs w:val="28"/>
        </w:rPr>
        <w:t>“</w:t>
      </w:r>
      <w:r w:rsidRPr="000E6DB7">
        <w:rPr>
          <w:szCs w:val="28"/>
        </w:rPr>
        <w:t>排放达标管理</w:t>
      </w:r>
      <w:r w:rsidRPr="000E6DB7">
        <w:rPr>
          <w:szCs w:val="28"/>
        </w:rPr>
        <w:t>”</w:t>
      </w:r>
      <w:r w:rsidRPr="000E6DB7">
        <w:rPr>
          <w:szCs w:val="28"/>
        </w:rPr>
        <w:t>向</w:t>
      </w:r>
      <w:r w:rsidRPr="000E6DB7">
        <w:rPr>
          <w:szCs w:val="28"/>
        </w:rPr>
        <w:t>“</w:t>
      </w:r>
      <w:r w:rsidRPr="000E6DB7">
        <w:rPr>
          <w:szCs w:val="28"/>
        </w:rPr>
        <w:t>燃烧过程与运行绩效综合评价</w:t>
      </w:r>
      <w:r w:rsidRPr="000E6DB7">
        <w:rPr>
          <w:szCs w:val="28"/>
        </w:rPr>
        <w:t>”</w:t>
      </w:r>
      <w:r w:rsidRPr="000E6DB7">
        <w:rPr>
          <w:szCs w:val="28"/>
        </w:rPr>
        <w:t>强化的趋势。美国联邦层面</w:t>
      </w:r>
      <w:r w:rsidRPr="000E6DB7">
        <w:rPr>
          <w:szCs w:val="28"/>
        </w:rPr>
        <w:lastRenderedPageBreak/>
        <w:t>由美国环境保护署（</w:t>
      </w:r>
      <w:r w:rsidRPr="000E6DB7">
        <w:rPr>
          <w:szCs w:val="28"/>
        </w:rPr>
        <w:t>U.S. EPA</w:t>
      </w:r>
      <w:r w:rsidRPr="000E6DB7">
        <w:rPr>
          <w:szCs w:val="28"/>
        </w:rPr>
        <w:t>）牵头，对工业、商业与</w:t>
      </w:r>
      <w:r w:rsidR="00C52381">
        <w:rPr>
          <w:rFonts w:hint="eastAsia"/>
          <w:szCs w:val="28"/>
        </w:rPr>
        <w:t>非工业</w:t>
      </w:r>
      <w:r w:rsidR="00C52381" w:rsidRPr="000E6DB7">
        <w:rPr>
          <w:szCs w:val="28"/>
        </w:rPr>
        <w:t>机构锅炉</w:t>
      </w:r>
      <w:r w:rsidRPr="000E6DB7">
        <w:rPr>
          <w:szCs w:val="28"/>
        </w:rPr>
        <w:t>（包</w:t>
      </w:r>
      <w:r w:rsidR="00C52381">
        <w:rPr>
          <w:rFonts w:hint="eastAsia"/>
          <w:szCs w:val="28"/>
        </w:rPr>
        <w:t>含</w:t>
      </w:r>
      <w:r w:rsidRPr="000E6DB7">
        <w:rPr>
          <w:szCs w:val="28"/>
        </w:rPr>
        <w:t>生物质锅炉）实施《工业、商业</w:t>
      </w:r>
      <w:r w:rsidR="00C52381">
        <w:rPr>
          <w:rFonts w:hint="eastAsia"/>
          <w:szCs w:val="28"/>
        </w:rPr>
        <w:t>、非工业</w:t>
      </w:r>
      <w:r w:rsidRPr="000E6DB7">
        <w:rPr>
          <w:szCs w:val="28"/>
        </w:rPr>
        <w:t>机构锅炉与工艺加热器危险空气污染物国家排放标准》（</w:t>
      </w:r>
      <w:r w:rsidRPr="000E6DB7">
        <w:rPr>
          <w:szCs w:val="28"/>
        </w:rPr>
        <w:t>Boiler MACT</w:t>
      </w:r>
      <w:r w:rsidRPr="000E6DB7">
        <w:rPr>
          <w:szCs w:val="28"/>
        </w:rPr>
        <w:t>），在法规中除设置排放限值外，还引入锅炉调优等工作实践要求，通过对燃烧空气</w:t>
      </w:r>
      <w:r w:rsidRPr="000E6DB7">
        <w:rPr>
          <w:szCs w:val="28"/>
        </w:rPr>
        <w:t>—</w:t>
      </w:r>
      <w:r w:rsidRPr="000E6DB7">
        <w:rPr>
          <w:szCs w:val="28"/>
        </w:rPr>
        <w:t>燃料配比和运行状态的持续校核，将燃烧过程可控性纳入合</w:t>
      </w:r>
      <w:proofErr w:type="gramStart"/>
      <w:r w:rsidRPr="000E6DB7">
        <w:rPr>
          <w:szCs w:val="28"/>
        </w:rPr>
        <w:t>规</w:t>
      </w:r>
      <w:proofErr w:type="gramEnd"/>
      <w:r w:rsidRPr="000E6DB7">
        <w:rPr>
          <w:szCs w:val="28"/>
        </w:rPr>
        <w:t>管理。</w:t>
      </w:r>
    </w:p>
    <w:p w14:paraId="7B107681" w14:textId="4DAC18DF" w:rsidR="00445F8C" w:rsidRDefault="00084192" w:rsidP="00C52381">
      <w:pPr>
        <w:autoSpaceDE w:val="0"/>
        <w:autoSpaceDN w:val="0"/>
        <w:adjustRightInd w:val="0"/>
        <w:spacing w:line="560" w:lineRule="exact"/>
        <w:ind w:firstLine="640"/>
        <w:rPr>
          <w:szCs w:val="28"/>
        </w:rPr>
      </w:pPr>
      <w:r>
        <w:rPr>
          <w:szCs w:val="28"/>
        </w:rPr>
        <w:t>在技术与工程层面，</w:t>
      </w:r>
      <w:r w:rsidR="00C52381" w:rsidRPr="00C52381">
        <w:rPr>
          <w:szCs w:val="28"/>
        </w:rPr>
        <w:t>U.S. EPA</w:t>
      </w:r>
      <w:r>
        <w:rPr>
          <w:szCs w:val="28"/>
        </w:rPr>
        <w:t>发布的</w:t>
      </w:r>
      <w:r w:rsidR="00C52381">
        <w:rPr>
          <w:rFonts w:hint="eastAsia"/>
          <w:szCs w:val="28"/>
        </w:rPr>
        <w:t>《</w:t>
      </w:r>
      <w:r w:rsidR="00C52381" w:rsidRPr="00C52381">
        <w:rPr>
          <w:szCs w:val="28"/>
        </w:rPr>
        <w:t>生物质热电联产技术目录</w:t>
      </w:r>
      <w:r w:rsidR="00C52381">
        <w:rPr>
          <w:rFonts w:hint="eastAsia"/>
          <w:szCs w:val="28"/>
        </w:rPr>
        <w:t>》（</w:t>
      </w:r>
      <w:r>
        <w:rPr>
          <w:szCs w:val="28"/>
        </w:rPr>
        <w:t>Biomass Combined Heat and Power Catalog of Technologies</w:t>
      </w:r>
      <w:r w:rsidR="00C52381">
        <w:rPr>
          <w:rFonts w:hint="eastAsia"/>
          <w:szCs w:val="28"/>
        </w:rPr>
        <w:t>）</w:t>
      </w:r>
      <w:r>
        <w:rPr>
          <w:szCs w:val="28"/>
        </w:rPr>
        <w:t>等技术目录文件，对生物质热电联产系统的能量转化效率、系统集成和环境效益进行系统性总结，明确指出通过提升整体能效可同步降低温室气体排放，为清洁燃烧评价从单一排放结果拓展至能效与减碳绩效提供了公共参考。在示范实践方面，不列颠哥伦比亚大学（</w:t>
      </w:r>
      <w:r>
        <w:rPr>
          <w:szCs w:val="28"/>
        </w:rPr>
        <w:t>UBC</w:t>
      </w:r>
      <w:r>
        <w:rPr>
          <w:szCs w:val="28"/>
        </w:rPr>
        <w:t>）建设运行的生物质能源示范设施，以城市木质废弃物为燃料，为校园供热并支撑减排目标，其运行评价同时关注供热贡献、能效水平和温室气体减排效果。</w:t>
      </w:r>
    </w:p>
    <w:p w14:paraId="419F1B50" w14:textId="77777777" w:rsidR="00445F8C" w:rsidRDefault="00084192">
      <w:pPr>
        <w:autoSpaceDE w:val="0"/>
        <w:autoSpaceDN w:val="0"/>
        <w:adjustRightInd w:val="0"/>
        <w:spacing w:line="560" w:lineRule="exact"/>
        <w:ind w:firstLine="640"/>
        <w:rPr>
          <w:szCs w:val="28"/>
        </w:rPr>
      </w:pPr>
      <w:r>
        <w:rPr>
          <w:szCs w:val="28"/>
        </w:rPr>
        <w:t>在亚太地区，日本与韩国在生物质锅炉与热电联产的发展路径上虽存在差异，但其政策与工程实践均体现出以绩效评价为导向的管理特征。</w:t>
      </w:r>
    </w:p>
    <w:p w14:paraId="077A9471" w14:textId="6F5264B4" w:rsidR="001640D1" w:rsidRDefault="00084192">
      <w:pPr>
        <w:autoSpaceDE w:val="0"/>
        <w:autoSpaceDN w:val="0"/>
        <w:adjustRightInd w:val="0"/>
        <w:spacing w:line="560" w:lineRule="exact"/>
        <w:ind w:firstLine="640"/>
        <w:rPr>
          <w:szCs w:val="28"/>
        </w:rPr>
      </w:pPr>
      <w:r>
        <w:rPr>
          <w:szCs w:val="28"/>
        </w:rPr>
        <w:t>在日本，生物质锅炉清洁燃烧评价由日本环境省和日本经济产业省分别从排放监管和能源政策层面协同推进。日本在</w:t>
      </w:r>
      <w:proofErr w:type="gramStart"/>
      <w:r>
        <w:rPr>
          <w:szCs w:val="28"/>
        </w:rPr>
        <w:t>固定源</w:t>
      </w:r>
      <w:proofErr w:type="gramEnd"/>
      <w:r>
        <w:rPr>
          <w:szCs w:val="28"/>
        </w:rPr>
        <w:t>管理中对锅炉实施颗粒物和</w:t>
      </w:r>
      <w:r>
        <w:rPr>
          <w:szCs w:val="28"/>
        </w:rPr>
        <w:t>NO</w:t>
      </w:r>
      <w:r w:rsidRPr="00C52381">
        <w:rPr>
          <w:i/>
          <w:iCs/>
          <w:szCs w:val="28"/>
          <w:vertAlign w:val="subscript"/>
        </w:rPr>
        <w:t>x</w:t>
      </w:r>
      <w:r>
        <w:rPr>
          <w:szCs w:val="28"/>
        </w:rPr>
        <w:t>等污染物排放标准，并通过法规体系明确监测与监管要求，使排放绩效成为清洁燃烧评价的重要基础。同时，在固定价格收购制度（</w:t>
      </w:r>
      <w:r>
        <w:rPr>
          <w:szCs w:val="28"/>
        </w:rPr>
        <w:t>FIT</w:t>
      </w:r>
      <w:r>
        <w:rPr>
          <w:szCs w:val="28"/>
        </w:rPr>
        <w:t>）向溢价补贴制度（</w:t>
      </w:r>
      <w:r>
        <w:rPr>
          <w:szCs w:val="28"/>
        </w:rPr>
        <w:t>FIP</w:t>
      </w:r>
      <w:r>
        <w:rPr>
          <w:szCs w:val="28"/>
        </w:rPr>
        <w:t>）转型过程中，</w:t>
      </w:r>
      <w:r w:rsidR="001640D1">
        <w:rPr>
          <w:rFonts w:hint="eastAsia"/>
          <w:szCs w:val="28"/>
        </w:rPr>
        <w:t>同步完善配套的合</w:t>
      </w:r>
      <w:proofErr w:type="gramStart"/>
      <w:r w:rsidR="001640D1">
        <w:rPr>
          <w:rFonts w:hint="eastAsia"/>
          <w:szCs w:val="28"/>
        </w:rPr>
        <w:t>规</w:t>
      </w:r>
      <w:proofErr w:type="gramEnd"/>
      <w:r w:rsidR="001640D1">
        <w:rPr>
          <w:rFonts w:hint="eastAsia"/>
          <w:szCs w:val="28"/>
        </w:rPr>
        <w:t>评价框架，</w:t>
      </w:r>
      <w:r w:rsidR="001640D1" w:rsidRPr="001640D1">
        <w:rPr>
          <w:szCs w:val="28"/>
        </w:rPr>
        <w:t>分阶段引入温室气</w:t>
      </w:r>
      <w:r w:rsidR="001640D1" w:rsidRPr="001640D1">
        <w:rPr>
          <w:szCs w:val="28"/>
        </w:rPr>
        <w:lastRenderedPageBreak/>
        <w:t>体排放核算与燃料可持续性要求，将生命周期低碳绩效、燃料来源可追溯性与机组运行表现等要素纳入项目认定、补贴审核与运行评价体系。</w:t>
      </w:r>
    </w:p>
    <w:p w14:paraId="460AD29F" w14:textId="77777777" w:rsidR="00445F8C" w:rsidRDefault="00084192">
      <w:pPr>
        <w:autoSpaceDE w:val="0"/>
        <w:autoSpaceDN w:val="0"/>
        <w:adjustRightInd w:val="0"/>
        <w:spacing w:line="560" w:lineRule="exact"/>
        <w:ind w:firstLine="640"/>
        <w:rPr>
          <w:szCs w:val="28"/>
        </w:rPr>
      </w:pPr>
      <w:r>
        <w:rPr>
          <w:szCs w:val="28"/>
        </w:rPr>
        <w:t>在韩国，生物质能源曾在产业通商资源部（</w:t>
      </w:r>
      <w:r>
        <w:rPr>
          <w:szCs w:val="28"/>
        </w:rPr>
        <w:t>MOTIE</w:t>
      </w:r>
      <w:r>
        <w:rPr>
          <w:szCs w:val="28"/>
        </w:rPr>
        <w:t>）主导的可再生能源政策体系下，通过可再生能源证书（</w:t>
      </w:r>
      <w:r>
        <w:rPr>
          <w:szCs w:val="28"/>
        </w:rPr>
        <w:t>REC</w:t>
      </w:r>
      <w:r>
        <w:rPr>
          <w:szCs w:val="28"/>
        </w:rPr>
        <w:t>）制度获得激励，推动了以生物质锅炉为核心的发电与供热项目发展。随着对碳排放和燃料可持续性问题关注度的提高，韩国政府近年对相关支持政策进行了调整，逐步强化对燃烧排放、温室气体绩效和燃料来源的综合评价要求。同时，韩国实施的排放交易体系（</w:t>
      </w:r>
      <w:r>
        <w:rPr>
          <w:szCs w:val="28"/>
        </w:rPr>
        <w:t>K-ETS</w:t>
      </w:r>
      <w:r>
        <w:rPr>
          <w:szCs w:val="28"/>
        </w:rPr>
        <w:t>）将能源行业燃烧设施纳入温室气体监测、报告与核算框架，使燃烧效率和排放强度成为运行评价的重要依据。</w:t>
      </w:r>
    </w:p>
    <w:p w14:paraId="283F0670" w14:textId="5AFFB1E0" w:rsidR="00445F8C" w:rsidRDefault="00084192">
      <w:pPr>
        <w:autoSpaceDE w:val="0"/>
        <w:autoSpaceDN w:val="0"/>
        <w:adjustRightInd w:val="0"/>
        <w:spacing w:line="560" w:lineRule="exact"/>
        <w:ind w:firstLine="640"/>
        <w:rPr>
          <w:szCs w:val="28"/>
        </w:rPr>
      </w:pPr>
      <w:r>
        <w:rPr>
          <w:szCs w:val="28"/>
        </w:rPr>
        <w:t>总体来看，欧洲、北美及日韩等国家和地区在生物质锅炉领域的实践表明，清洁燃烧评价正由</w:t>
      </w:r>
      <w:r>
        <w:rPr>
          <w:szCs w:val="28"/>
        </w:rPr>
        <w:t>“</w:t>
      </w:r>
      <w:r>
        <w:rPr>
          <w:szCs w:val="28"/>
        </w:rPr>
        <w:t>是否达标</w:t>
      </w:r>
      <w:r>
        <w:rPr>
          <w:szCs w:val="28"/>
        </w:rPr>
        <w:t>”</w:t>
      </w:r>
      <w:r>
        <w:rPr>
          <w:szCs w:val="28"/>
        </w:rPr>
        <w:t>向</w:t>
      </w:r>
      <w:r>
        <w:rPr>
          <w:szCs w:val="28"/>
        </w:rPr>
        <w:t>“</w:t>
      </w:r>
      <w:r>
        <w:rPr>
          <w:szCs w:val="28"/>
        </w:rPr>
        <w:t>燃烧过程</w:t>
      </w:r>
      <w:r>
        <w:rPr>
          <w:szCs w:val="28"/>
        </w:rPr>
        <w:t>—</w:t>
      </w:r>
      <w:r>
        <w:rPr>
          <w:szCs w:val="28"/>
        </w:rPr>
        <w:t>运行性能</w:t>
      </w:r>
      <w:r>
        <w:rPr>
          <w:szCs w:val="28"/>
        </w:rPr>
        <w:t>—</w:t>
      </w:r>
      <w:r>
        <w:rPr>
          <w:szCs w:val="28"/>
        </w:rPr>
        <w:t>环境绩效</w:t>
      </w:r>
      <w:r>
        <w:rPr>
          <w:szCs w:val="28"/>
        </w:rPr>
        <w:t>”</w:t>
      </w:r>
      <w:r>
        <w:rPr>
          <w:szCs w:val="28"/>
        </w:rPr>
        <w:t>的多维</w:t>
      </w:r>
      <w:proofErr w:type="gramStart"/>
      <w:r>
        <w:rPr>
          <w:szCs w:val="28"/>
        </w:rPr>
        <w:t>度综合</w:t>
      </w:r>
      <w:proofErr w:type="gramEnd"/>
      <w:r>
        <w:rPr>
          <w:szCs w:val="28"/>
        </w:rPr>
        <w:t>评价发展。上述国际经验为构建以燃烧过程和运行性能为核心、兼顾污染物与温室气体控制的清洁燃烧评价体系提供了重要参考。</w:t>
      </w:r>
    </w:p>
    <w:p w14:paraId="14E6C703" w14:textId="77777777" w:rsidR="00445F8C" w:rsidRDefault="00084192">
      <w:pPr>
        <w:autoSpaceDE w:val="0"/>
        <w:autoSpaceDN w:val="0"/>
        <w:adjustRightInd w:val="0"/>
        <w:spacing w:line="560" w:lineRule="exact"/>
        <w:ind w:firstLine="643"/>
        <w:rPr>
          <w:b/>
          <w:szCs w:val="28"/>
        </w:rPr>
      </w:pPr>
      <w:r>
        <w:rPr>
          <w:b/>
          <w:szCs w:val="28"/>
        </w:rPr>
        <w:t>4</w:t>
      </w:r>
      <w:r>
        <w:rPr>
          <w:b/>
          <w:szCs w:val="28"/>
        </w:rPr>
        <w:t>、国家及生态环境主管部门的相关要求</w:t>
      </w:r>
    </w:p>
    <w:p w14:paraId="746D8D23" w14:textId="77777777" w:rsidR="00445F8C" w:rsidRDefault="00084192">
      <w:pPr>
        <w:autoSpaceDE w:val="0"/>
        <w:autoSpaceDN w:val="0"/>
        <w:adjustRightInd w:val="0"/>
        <w:spacing w:line="560" w:lineRule="exact"/>
        <w:ind w:firstLine="640"/>
        <w:rPr>
          <w:szCs w:val="28"/>
        </w:rPr>
      </w:pPr>
      <w:r>
        <w:rPr>
          <w:szCs w:val="28"/>
        </w:rPr>
        <w:t>在</w:t>
      </w:r>
      <w:r>
        <w:rPr>
          <w:szCs w:val="28"/>
        </w:rPr>
        <w:t>“</w:t>
      </w:r>
      <w:r>
        <w:rPr>
          <w:szCs w:val="28"/>
        </w:rPr>
        <w:t>双碳</w:t>
      </w:r>
      <w:r>
        <w:rPr>
          <w:szCs w:val="28"/>
        </w:rPr>
        <w:t>”</w:t>
      </w:r>
      <w:r>
        <w:rPr>
          <w:szCs w:val="28"/>
        </w:rPr>
        <w:t>目标和能源结构转型背景下，国家层面围绕锅炉绿色低碳发展和大气污染防治，逐步建立了涵盖能源利用、污染物排放和运行管理的政策与监管体系。生物质锅炉作为清洁供热和工业用能的重要装备，被纳入相关能源和生态环境管理框架，对其清洁、高效和规范运行提出了明确的制度性要求。</w:t>
      </w:r>
    </w:p>
    <w:p w14:paraId="29CC69C2" w14:textId="084CEE7E" w:rsidR="00445F8C" w:rsidRDefault="00084192">
      <w:pPr>
        <w:autoSpaceDE w:val="0"/>
        <w:autoSpaceDN w:val="0"/>
        <w:adjustRightInd w:val="0"/>
        <w:spacing w:line="560" w:lineRule="exact"/>
        <w:ind w:firstLine="640"/>
        <w:rPr>
          <w:szCs w:val="28"/>
        </w:rPr>
      </w:pPr>
      <w:r>
        <w:rPr>
          <w:szCs w:val="28"/>
        </w:rPr>
        <w:t>从监管制度看，生态环境主管部门通过排放标准和排污许可制度，对生物质锅炉实施以污染物排放控制为核心的全过程监管，</w:t>
      </w:r>
      <w:r>
        <w:rPr>
          <w:szCs w:val="28"/>
        </w:rPr>
        <w:lastRenderedPageBreak/>
        <w:t>并配套发布锅炉运行规程、烟气净化技术规范及清洁生产评价相关文件，对燃烧控制、运行管理和污染治理设施运行提出了具体要求</w:t>
      </w:r>
      <w:r w:rsidR="00E723AE">
        <w:rPr>
          <w:rFonts w:hint="eastAsia"/>
          <w:szCs w:val="28"/>
        </w:rPr>
        <w:t>，</w:t>
      </w:r>
      <w:r>
        <w:rPr>
          <w:szCs w:val="28"/>
        </w:rPr>
        <w:t>其主要内容汇总见表</w:t>
      </w:r>
      <w:r w:rsidR="00073888">
        <w:rPr>
          <w:rFonts w:hint="eastAsia"/>
          <w:szCs w:val="28"/>
        </w:rPr>
        <w:t>4</w:t>
      </w:r>
      <w:r>
        <w:rPr>
          <w:szCs w:val="28"/>
        </w:rPr>
        <w:t>。</w:t>
      </w:r>
    </w:p>
    <w:p w14:paraId="2CC1C8A6" w14:textId="02480B3A" w:rsidR="00445F8C" w:rsidRDefault="00084192" w:rsidP="00BA3B26">
      <w:pPr>
        <w:autoSpaceDE w:val="0"/>
        <w:autoSpaceDN w:val="0"/>
        <w:adjustRightInd w:val="0"/>
        <w:spacing w:line="560" w:lineRule="exact"/>
        <w:ind w:firstLine="640"/>
        <w:rPr>
          <w:szCs w:val="28"/>
        </w:rPr>
      </w:pPr>
      <w:r>
        <w:rPr>
          <w:szCs w:val="28"/>
        </w:rPr>
        <w:t>总体来看，国家及生态环境主管部门已从政策引导、标准约束和监管制度等层面，明确了生物质锅炉在排放控制、运行管理和节能环保方面的基本要求。但现有政策和技术规范多侧重合</w:t>
      </w:r>
      <w:proofErr w:type="gramStart"/>
      <w:r>
        <w:rPr>
          <w:szCs w:val="28"/>
        </w:rPr>
        <w:t>规</w:t>
      </w:r>
      <w:proofErr w:type="gramEnd"/>
      <w:r>
        <w:rPr>
          <w:szCs w:val="28"/>
        </w:rPr>
        <w:t>性约束和单项指标控制，尚缺乏将上述要求转化为统一、可比、可用于评价和改进的综合技术工具。在此基础上，制定《生物质锅炉清洁燃烧评价指标体系》，有助于将国家和生态环境主管部门提出的管理要求细化为可操作的评价指标和方法，为监管实施、运行评估和技术提升提供支撑，并为后续生物质锅炉清洁化水平的分级管理和持续改进提供技术依据。</w:t>
      </w:r>
    </w:p>
    <w:p w14:paraId="213B6239" w14:textId="3E1244BA" w:rsidR="00445F8C" w:rsidRDefault="00084192">
      <w:pPr>
        <w:autoSpaceDE w:val="0"/>
        <w:autoSpaceDN w:val="0"/>
        <w:adjustRightInd w:val="0"/>
        <w:spacing w:line="560" w:lineRule="exact"/>
        <w:ind w:firstLineChars="0" w:firstLine="0"/>
        <w:jc w:val="center"/>
        <w:rPr>
          <w:sz w:val="24"/>
          <w:szCs w:val="28"/>
        </w:rPr>
      </w:pPr>
      <w:r>
        <w:rPr>
          <w:sz w:val="28"/>
          <w:szCs w:val="28"/>
        </w:rPr>
        <w:t>表</w:t>
      </w:r>
      <w:r w:rsidR="00073888">
        <w:rPr>
          <w:rFonts w:hint="eastAsia"/>
          <w:sz w:val="28"/>
          <w:szCs w:val="28"/>
        </w:rPr>
        <w:t>4</w:t>
      </w:r>
      <w:r>
        <w:rPr>
          <w:sz w:val="28"/>
          <w:szCs w:val="28"/>
        </w:rPr>
        <w:t xml:space="preserve"> </w:t>
      </w:r>
      <w:r w:rsidR="000524F4" w:rsidRPr="000524F4">
        <w:rPr>
          <w:sz w:val="28"/>
          <w:szCs w:val="28"/>
        </w:rPr>
        <w:t>生物质锅炉相关政策文件及国家技术要求</w:t>
      </w:r>
    </w:p>
    <w:tbl>
      <w:tblPr>
        <w:tblStyle w:val="GridTableLight"/>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3260"/>
        <w:gridCol w:w="1418"/>
        <w:gridCol w:w="2835"/>
      </w:tblGrid>
      <w:tr w:rsidR="00445F8C" w14:paraId="7C8213F1" w14:textId="77777777" w:rsidTr="00084192">
        <w:trPr>
          <w:trHeight w:val="283"/>
          <w:tblHeader/>
        </w:trPr>
        <w:tc>
          <w:tcPr>
            <w:tcW w:w="1418" w:type="dxa"/>
            <w:tcBorders>
              <w:top w:val="single" w:sz="12" w:space="0" w:color="auto"/>
              <w:bottom w:val="single" w:sz="8" w:space="0" w:color="auto"/>
            </w:tcBorders>
            <w:vAlign w:val="center"/>
          </w:tcPr>
          <w:p w14:paraId="7E33D6FB"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z w:val="24"/>
                <w:szCs w:val="24"/>
              </w:rPr>
            </w:pPr>
            <w:proofErr w:type="spellStart"/>
            <w:r w:rsidRPr="00323207">
              <w:rPr>
                <w:rFonts w:ascii="Times New Roman" w:eastAsia="仿宋_GB2312" w:hAnsi="Times New Roman" w:cs="Times New Roman"/>
                <w:color w:val="auto"/>
                <w:spacing w:val="-11"/>
                <w:sz w:val="24"/>
                <w:szCs w:val="24"/>
              </w:rPr>
              <w:t>日期</w:t>
            </w:r>
            <w:proofErr w:type="spellEnd"/>
          </w:p>
        </w:tc>
        <w:tc>
          <w:tcPr>
            <w:tcW w:w="3260" w:type="dxa"/>
            <w:tcBorders>
              <w:top w:val="single" w:sz="12" w:space="0" w:color="auto"/>
              <w:bottom w:val="single" w:sz="8" w:space="0" w:color="auto"/>
            </w:tcBorders>
            <w:vAlign w:val="center"/>
          </w:tcPr>
          <w:p w14:paraId="25CB56D1" w14:textId="008BED21" w:rsidR="00445F8C" w:rsidRPr="00323207" w:rsidRDefault="000524F4"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0524F4">
              <w:rPr>
                <w:rFonts w:ascii="Times New Roman" w:eastAsia="仿宋_GB2312" w:hAnsi="Times New Roman" w:cs="Times New Roman"/>
                <w:color w:val="auto"/>
                <w:spacing w:val="-11"/>
                <w:sz w:val="24"/>
                <w:szCs w:val="24"/>
                <w:lang w:eastAsia="zh-CN"/>
              </w:rPr>
              <w:t>文件名称（文号）</w:t>
            </w:r>
          </w:p>
        </w:tc>
        <w:tc>
          <w:tcPr>
            <w:tcW w:w="1418" w:type="dxa"/>
            <w:tcBorders>
              <w:top w:val="single" w:sz="12" w:space="0" w:color="auto"/>
              <w:bottom w:val="single" w:sz="8" w:space="0" w:color="auto"/>
            </w:tcBorders>
            <w:vAlign w:val="center"/>
          </w:tcPr>
          <w:p w14:paraId="04CE5EAE" w14:textId="1E21C736" w:rsidR="00445F8C" w:rsidRPr="00323207" w:rsidRDefault="000524F4" w:rsidP="00323207">
            <w:pPr>
              <w:pStyle w:val="TableText"/>
              <w:spacing w:line="360" w:lineRule="exact"/>
              <w:jc w:val="center"/>
              <w:rPr>
                <w:rFonts w:ascii="Times New Roman" w:eastAsia="仿宋_GB2312" w:hAnsi="Times New Roman" w:cs="Times New Roman"/>
                <w:color w:val="auto"/>
                <w:sz w:val="24"/>
                <w:szCs w:val="24"/>
              </w:rPr>
            </w:pPr>
            <w:proofErr w:type="spellStart"/>
            <w:r w:rsidRPr="000524F4">
              <w:rPr>
                <w:rFonts w:ascii="Times New Roman" w:eastAsia="仿宋_GB2312" w:hAnsi="Times New Roman" w:cs="Times New Roman"/>
                <w:color w:val="auto"/>
                <w:spacing w:val="-4"/>
                <w:sz w:val="24"/>
                <w:szCs w:val="24"/>
              </w:rPr>
              <w:t>发布部门</w:t>
            </w:r>
            <w:proofErr w:type="spellEnd"/>
          </w:p>
        </w:tc>
        <w:tc>
          <w:tcPr>
            <w:tcW w:w="2835" w:type="dxa"/>
            <w:tcBorders>
              <w:top w:val="single" w:sz="12" w:space="0" w:color="auto"/>
              <w:bottom w:val="single" w:sz="8" w:space="0" w:color="auto"/>
            </w:tcBorders>
            <w:vAlign w:val="center"/>
          </w:tcPr>
          <w:p w14:paraId="7C12E903" w14:textId="069C9581" w:rsidR="00445F8C" w:rsidRPr="00E723AE" w:rsidRDefault="0042401D" w:rsidP="00E723AE">
            <w:pPr>
              <w:pStyle w:val="TableText"/>
              <w:spacing w:line="360" w:lineRule="exact"/>
              <w:jc w:val="center"/>
              <w:rPr>
                <w:rFonts w:ascii="Times New Roman" w:eastAsia="仿宋_GB2312" w:hAnsi="Times New Roman" w:cs="Times New Roman"/>
                <w:color w:val="auto"/>
                <w:spacing w:val="-3"/>
                <w:sz w:val="24"/>
                <w:szCs w:val="24"/>
                <w:lang w:eastAsia="zh-CN"/>
              </w:rPr>
            </w:pPr>
            <w:r w:rsidRPr="0042401D">
              <w:rPr>
                <w:rFonts w:ascii="Times New Roman" w:eastAsia="仿宋_GB2312" w:hAnsi="Times New Roman" w:cs="Times New Roman"/>
                <w:color w:val="auto"/>
                <w:spacing w:val="-3"/>
                <w:sz w:val="24"/>
                <w:szCs w:val="24"/>
                <w:lang w:eastAsia="zh-CN"/>
              </w:rPr>
              <w:t>相关的主要要求</w:t>
            </w:r>
          </w:p>
        </w:tc>
      </w:tr>
      <w:tr w:rsidR="00445F8C" w14:paraId="3249CA5E" w14:textId="77777777" w:rsidTr="00084192">
        <w:trPr>
          <w:trHeight w:val="283"/>
        </w:trPr>
        <w:tc>
          <w:tcPr>
            <w:tcW w:w="1418" w:type="dxa"/>
            <w:tcBorders>
              <w:top w:val="single" w:sz="8" w:space="0" w:color="auto"/>
            </w:tcBorders>
            <w:vAlign w:val="center"/>
          </w:tcPr>
          <w:p w14:paraId="20892615" w14:textId="77777777" w:rsidR="00445F8C" w:rsidRPr="00323207" w:rsidRDefault="00084192" w:rsidP="00A843BF">
            <w:pPr>
              <w:pStyle w:val="TableText"/>
              <w:spacing w:line="360" w:lineRule="exact"/>
              <w:jc w:val="center"/>
              <w:rPr>
                <w:rFonts w:ascii="Times New Roman" w:eastAsia="仿宋_GB2312" w:hAnsi="Times New Roman" w:cs="Times New Roman"/>
                <w:color w:val="auto"/>
                <w:spacing w:val="-11"/>
                <w:sz w:val="24"/>
                <w:szCs w:val="24"/>
              </w:rPr>
            </w:pPr>
            <w:r w:rsidRPr="00323207">
              <w:rPr>
                <w:rFonts w:ascii="Times New Roman" w:eastAsia="仿宋_GB2312" w:hAnsi="Times New Roman" w:cs="Times New Roman"/>
                <w:color w:val="auto"/>
                <w:spacing w:val="-11"/>
                <w:sz w:val="24"/>
                <w:szCs w:val="24"/>
              </w:rPr>
              <w:t>2017-12-06</w:t>
            </w:r>
          </w:p>
        </w:tc>
        <w:tc>
          <w:tcPr>
            <w:tcW w:w="3260" w:type="dxa"/>
            <w:tcBorders>
              <w:top w:val="single" w:sz="8" w:space="0" w:color="auto"/>
            </w:tcBorders>
            <w:vAlign w:val="center"/>
          </w:tcPr>
          <w:p w14:paraId="4886B065"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关于印发促进生物质能供热发展指导意见的通知</w:t>
            </w:r>
          </w:p>
          <w:p w14:paraId="7229F871"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proofErr w:type="gramStart"/>
            <w:r w:rsidRPr="00323207">
              <w:rPr>
                <w:rFonts w:ascii="Times New Roman" w:eastAsia="仿宋_GB2312" w:hAnsi="Times New Roman" w:cs="Times New Roman"/>
                <w:color w:val="auto"/>
                <w:spacing w:val="-11"/>
                <w:sz w:val="24"/>
                <w:szCs w:val="24"/>
                <w:lang w:eastAsia="zh-CN"/>
              </w:rPr>
              <w:t>发改能源</w:t>
            </w:r>
            <w:proofErr w:type="gramEnd"/>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2017</w:t>
            </w:r>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2123</w:t>
            </w:r>
            <w:r w:rsidRPr="00323207">
              <w:rPr>
                <w:rFonts w:ascii="Times New Roman" w:eastAsia="仿宋_GB2312" w:hAnsi="Times New Roman" w:cs="Times New Roman"/>
                <w:color w:val="auto"/>
                <w:spacing w:val="-11"/>
                <w:sz w:val="24"/>
                <w:szCs w:val="24"/>
                <w:lang w:eastAsia="zh-CN"/>
              </w:rPr>
              <w:t>号</w:t>
            </w:r>
          </w:p>
        </w:tc>
        <w:tc>
          <w:tcPr>
            <w:tcW w:w="1418" w:type="dxa"/>
            <w:tcBorders>
              <w:top w:val="single" w:sz="8" w:space="0" w:color="auto"/>
            </w:tcBorders>
            <w:vAlign w:val="center"/>
          </w:tcPr>
          <w:p w14:paraId="7FD7760C" w14:textId="77777777" w:rsidR="00A843BF"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proofErr w:type="gramStart"/>
            <w:r w:rsidRPr="00BA3B26">
              <w:rPr>
                <w:rFonts w:ascii="Times New Roman" w:eastAsia="仿宋_GB2312" w:hAnsi="Times New Roman" w:cs="Times New Roman"/>
                <w:color w:val="auto"/>
                <w:spacing w:val="-11"/>
                <w:sz w:val="24"/>
                <w:szCs w:val="24"/>
                <w:lang w:eastAsia="zh-CN"/>
              </w:rPr>
              <w:t>国家发改委</w:t>
            </w:r>
            <w:proofErr w:type="gramEnd"/>
            <w:r w:rsidRPr="00BA3B26">
              <w:rPr>
                <w:rFonts w:ascii="Times New Roman" w:eastAsia="仿宋_GB2312" w:hAnsi="Times New Roman" w:cs="Times New Roman"/>
                <w:color w:val="auto"/>
                <w:spacing w:val="-11"/>
                <w:sz w:val="24"/>
                <w:szCs w:val="24"/>
                <w:lang w:eastAsia="zh-CN"/>
              </w:rPr>
              <w:t>、</w:t>
            </w:r>
          </w:p>
          <w:p w14:paraId="4F2CFA84" w14:textId="5F05E2B7" w:rsidR="00445F8C" w:rsidRPr="00BA3B26"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BA3B26">
              <w:rPr>
                <w:rFonts w:ascii="Times New Roman" w:eastAsia="仿宋_GB2312" w:hAnsi="Times New Roman" w:cs="Times New Roman"/>
                <w:color w:val="auto"/>
                <w:spacing w:val="-11"/>
                <w:sz w:val="24"/>
                <w:szCs w:val="24"/>
                <w:lang w:eastAsia="zh-CN"/>
              </w:rPr>
              <w:t>能源局</w:t>
            </w:r>
          </w:p>
        </w:tc>
        <w:tc>
          <w:tcPr>
            <w:tcW w:w="2835" w:type="dxa"/>
            <w:tcBorders>
              <w:top w:val="single" w:sz="8" w:space="0" w:color="auto"/>
            </w:tcBorders>
            <w:vAlign w:val="center"/>
          </w:tcPr>
          <w:p w14:paraId="0B937059" w14:textId="27156B5E" w:rsidR="00445F8C" w:rsidRPr="00BA3B26" w:rsidRDefault="00084192" w:rsidP="00A843BF">
            <w:pPr>
              <w:pStyle w:val="TableText"/>
              <w:spacing w:line="360" w:lineRule="exact"/>
              <w:rPr>
                <w:rFonts w:ascii="Times New Roman" w:eastAsia="仿宋_GB2312" w:hAnsi="Times New Roman" w:cs="Times New Roman"/>
                <w:color w:val="auto"/>
                <w:spacing w:val="-3"/>
                <w:sz w:val="24"/>
                <w:szCs w:val="24"/>
                <w:lang w:eastAsia="zh-CN"/>
              </w:rPr>
            </w:pPr>
            <w:r w:rsidRPr="00BA3B26">
              <w:rPr>
                <w:rFonts w:ascii="Times New Roman" w:eastAsia="仿宋_GB2312" w:hAnsi="Times New Roman" w:cs="Times New Roman"/>
                <w:color w:val="auto"/>
                <w:spacing w:val="-3"/>
                <w:sz w:val="24"/>
                <w:szCs w:val="24"/>
                <w:lang w:eastAsia="zh-CN"/>
              </w:rPr>
              <w:t>明确</w:t>
            </w:r>
            <w:r w:rsidR="00323207" w:rsidRPr="00BA3B26">
              <w:rPr>
                <w:rFonts w:ascii="Times New Roman" w:eastAsia="仿宋_GB2312" w:hAnsi="Times New Roman" w:cs="Times New Roman"/>
                <w:color w:val="auto"/>
                <w:spacing w:val="-3"/>
                <w:sz w:val="24"/>
                <w:szCs w:val="24"/>
                <w:lang w:eastAsia="zh-CN"/>
              </w:rPr>
              <w:t>生物质锅炉供热、热电联产</w:t>
            </w:r>
            <w:r w:rsidRPr="00BA3B26">
              <w:rPr>
                <w:rFonts w:ascii="Times New Roman" w:eastAsia="仿宋_GB2312" w:hAnsi="Times New Roman" w:cs="Times New Roman"/>
                <w:color w:val="auto"/>
                <w:spacing w:val="-3"/>
                <w:sz w:val="24"/>
                <w:szCs w:val="24"/>
                <w:lang w:eastAsia="zh-CN"/>
              </w:rPr>
              <w:t>作为清洁供热重要方式，强调因地制宜、提升效率</w:t>
            </w:r>
            <w:r w:rsidR="00A843BF">
              <w:rPr>
                <w:rFonts w:ascii="Times New Roman" w:eastAsia="仿宋_GB2312" w:hAnsi="Times New Roman" w:cs="Times New Roman" w:hint="eastAsia"/>
                <w:color w:val="auto"/>
                <w:spacing w:val="-3"/>
                <w:sz w:val="24"/>
                <w:szCs w:val="24"/>
                <w:lang w:eastAsia="zh-CN"/>
              </w:rPr>
              <w:t>。</w:t>
            </w:r>
          </w:p>
        </w:tc>
      </w:tr>
      <w:tr w:rsidR="00445F8C" w14:paraId="7E9D9E62" w14:textId="77777777" w:rsidTr="00084192">
        <w:trPr>
          <w:trHeight w:val="283"/>
        </w:trPr>
        <w:tc>
          <w:tcPr>
            <w:tcW w:w="1418" w:type="dxa"/>
            <w:vAlign w:val="center"/>
          </w:tcPr>
          <w:p w14:paraId="155B9465" w14:textId="77777777" w:rsidR="00445F8C" w:rsidRPr="00323207" w:rsidRDefault="00084192" w:rsidP="00A843BF">
            <w:pPr>
              <w:pStyle w:val="TableText"/>
              <w:spacing w:line="360" w:lineRule="exact"/>
              <w:jc w:val="center"/>
              <w:rPr>
                <w:rFonts w:ascii="Times New Roman" w:eastAsia="仿宋_GB2312" w:hAnsi="Times New Roman" w:cs="Times New Roman"/>
                <w:color w:val="auto"/>
                <w:spacing w:val="-11"/>
                <w:sz w:val="24"/>
                <w:szCs w:val="24"/>
              </w:rPr>
            </w:pPr>
            <w:r w:rsidRPr="00323207">
              <w:rPr>
                <w:rFonts w:ascii="Times New Roman" w:eastAsia="仿宋_GB2312" w:hAnsi="Times New Roman" w:cs="Times New Roman"/>
                <w:color w:val="auto"/>
                <w:spacing w:val="-11"/>
                <w:sz w:val="24"/>
                <w:szCs w:val="24"/>
              </w:rPr>
              <w:t>2018-07-03</w:t>
            </w:r>
          </w:p>
        </w:tc>
        <w:tc>
          <w:tcPr>
            <w:tcW w:w="3260" w:type="dxa"/>
            <w:vAlign w:val="center"/>
          </w:tcPr>
          <w:p w14:paraId="7558A8ED"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国务院关于印发打赢蓝天保卫战三年行动计划的通知</w:t>
            </w:r>
          </w:p>
          <w:p w14:paraId="65557BD0"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国发〔</w:t>
            </w:r>
            <w:r w:rsidRPr="00323207">
              <w:rPr>
                <w:rFonts w:ascii="Times New Roman" w:eastAsia="仿宋_GB2312" w:hAnsi="Times New Roman" w:cs="Times New Roman"/>
                <w:color w:val="auto"/>
                <w:spacing w:val="-11"/>
                <w:sz w:val="24"/>
                <w:szCs w:val="24"/>
                <w:lang w:eastAsia="zh-CN"/>
              </w:rPr>
              <w:t>2018</w:t>
            </w:r>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22</w:t>
            </w:r>
            <w:r w:rsidRPr="00323207">
              <w:rPr>
                <w:rFonts w:ascii="Times New Roman" w:eastAsia="仿宋_GB2312" w:hAnsi="Times New Roman" w:cs="Times New Roman"/>
                <w:color w:val="auto"/>
                <w:spacing w:val="-11"/>
                <w:sz w:val="24"/>
                <w:szCs w:val="24"/>
                <w:lang w:eastAsia="zh-CN"/>
              </w:rPr>
              <w:t>号</w:t>
            </w:r>
          </w:p>
        </w:tc>
        <w:tc>
          <w:tcPr>
            <w:tcW w:w="1418" w:type="dxa"/>
            <w:vAlign w:val="center"/>
          </w:tcPr>
          <w:p w14:paraId="1B7BD42C" w14:textId="77777777" w:rsidR="00445F8C" w:rsidRPr="00BA3B26"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BA3B26">
              <w:rPr>
                <w:rFonts w:ascii="Times New Roman" w:eastAsia="仿宋_GB2312" w:hAnsi="Times New Roman" w:cs="Times New Roman"/>
                <w:color w:val="auto"/>
                <w:spacing w:val="-11"/>
                <w:sz w:val="24"/>
                <w:szCs w:val="24"/>
                <w:lang w:eastAsia="zh-CN"/>
              </w:rPr>
              <w:t>国务院</w:t>
            </w:r>
          </w:p>
        </w:tc>
        <w:tc>
          <w:tcPr>
            <w:tcW w:w="2835" w:type="dxa"/>
            <w:vAlign w:val="center"/>
          </w:tcPr>
          <w:p w14:paraId="78876E41" w14:textId="47205EC6" w:rsidR="00445F8C" w:rsidRPr="00BA3B26" w:rsidRDefault="00084192" w:rsidP="00A843BF">
            <w:pPr>
              <w:pStyle w:val="TableText"/>
              <w:spacing w:line="360" w:lineRule="exact"/>
              <w:rPr>
                <w:rFonts w:ascii="Times New Roman" w:eastAsia="仿宋_GB2312" w:hAnsi="Times New Roman" w:cs="Times New Roman"/>
                <w:color w:val="auto"/>
                <w:spacing w:val="-3"/>
                <w:sz w:val="24"/>
                <w:szCs w:val="24"/>
                <w:lang w:eastAsia="zh-CN"/>
              </w:rPr>
            </w:pPr>
            <w:r w:rsidRPr="00BA3B26">
              <w:rPr>
                <w:rFonts w:ascii="Times New Roman" w:eastAsia="仿宋_GB2312" w:hAnsi="Times New Roman" w:cs="Times New Roman"/>
                <w:color w:val="auto"/>
                <w:spacing w:val="-3"/>
                <w:sz w:val="24"/>
                <w:szCs w:val="24"/>
                <w:lang w:eastAsia="zh-CN"/>
              </w:rPr>
              <w:t>提出锅炉综合整治、推进清洁能源替代；在具备资源条件地区鼓励发展县域生物质热电联产、生物质成型燃料锅炉等</w:t>
            </w:r>
            <w:r w:rsidR="00A843BF">
              <w:rPr>
                <w:rFonts w:ascii="Times New Roman" w:eastAsia="仿宋_GB2312" w:hAnsi="Times New Roman" w:cs="Times New Roman" w:hint="eastAsia"/>
                <w:color w:val="auto"/>
                <w:spacing w:val="-3"/>
                <w:sz w:val="24"/>
                <w:szCs w:val="24"/>
                <w:lang w:eastAsia="zh-CN"/>
              </w:rPr>
              <w:t>。</w:t>
            </w:r>
          </w:p>
        </w:tc>
      </w:tr>
      <w:tr w:rsidR="00445F8C" w14:paraId="740D2608" w14:textId="77777777" w:rsidTr="00084192">
        <w:trPr>
          <w:trHeight w:val="283"/>
        </w:trPr>
        <w:tc>
          <w:tcPr>
            <w:tcW w:w="1418" w:type="dxa"/>
            <w:vAlign w:val="center"/>
          </w:tcPr>
          <w:p w14:paraId="7FD20FA8" w14:textId="77777777" w:rsidR="00445F8C" w:rsidRPr="00323207" w:rsidRDefault="00084192" w:rsidP="00A843BF">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rPr>
              <w:t>2021-12-29</w:t>
            </w:r>
          </w:p>
        </w:tc>
        <w:tc>
          <w:tcPr>
            <w:tcW w:w="3260" w:type="dxa"/>
            <w:vAlign w:val="center"/>
          </w:tcPr>
          <w:p w14:paraId="38AF9C30"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十四五</w:t>
            </w:r>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全国清洁生产推行方案</w:t>
            </w:r>
          </w:p>
          <w:p w14:paraId="4407B687"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proofErr w:type="gramStart"/>
            <w:r w:rsidRPr="00323207">
              <w:rPr>
                <w:rFonts w:ascii="Times New Roman" w:eastAsia="仿宋_GB2312" w:hAnsi="Times New Roman" w:cs="Times New Roman"/>
                <w:color w:val="auto"/>
                <w:spacing w:val="-11"/>
                <w:sz w:val="24"/>
                <w:szCs w:val="24"/>
                <w:lang w:eastAsia="zh-CN"/>
              </w:rPr>
              <w:t>发改环</w:t>
            </w:r>
            <w:proofErr w:type="gramEnd"/>
            <w:r w:rsidRPr="00323207">
              <w:rPr>
                <w:rFonts w:ascii="Times New Roman" w:eastAsia="仿宋_GB2312" w:hAnsi="Times New Roman" w:cs="Times New Roman"/>
                <w:color w:val="auto"/>
                <w:spacing w:val="-11"/>
                <w:sz w:val="24"/>
                <w:szCs w:val="24"/>
                <w:lang w:eastAsia="zh-CN"/>
              </w:rPr>
              <w:t>资〔</w:t>
            </w:r>
            <w:r w:rsidRPr="00323207">
              <w:rPr>
                <w:rFonts w:ascii="Times New Roman" w:eastAsia="仿宋_GB2312" w:hAnsi="Times New Roman" w:cs="Times New Roman"/>
                <w:color w:val="auto"/>
                <w:spacing w:val="-11"/>
                <w:sz w:val="24"/>
                <w:szCs w:val="24"/>
                <w:lang w:eastAsia="zh-CN"/>
              </w:rPr>
              <w:t>2021</w:t>
            </w:r>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1524</w:t>
            </w:r>
            <w:r w:rsidRPr="00323207">
              <w:rPr>
                <w:rFonts w:ascii="Times New Roman" w:eastAsia="仿宋_GB2312" w:hAnsi="Times New Roman" w:cs="Times New Roman"/>
                <w:color w:val="auto"/>
                <w:spacing w:val="-11"/>
                <w:sz w:val="24"/>
                <w:szCs w:val="24"/>
                <w:lang w:eastAsia="zh-CN"/>
              </w:rPr>
              <w:t>号</w:t>
            </w:r>
          </w:p>
        </w:tc>
        <w:tc>
          <w:tcPr>
            <w:tcW w:w="1418" w:type="dxa"/>
            <w:vAlign w:val="center"/>
          </w:tcPr>
          <w:p w14:paraId="76F231C1" w14:textId="77777777" w:rsidR="00445F8C" w:rsidRPr="00BA3B26"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proofErr w:type="gramStart"/>
            <w:r w:rsidRPr="00BA3B26">
              <w:rPr>
                <w:rFonts w:ascii="Times New Roman" w:eastAsia="仿宋_GB2312" w:hAnsi="Times New Roman" w:cs="Times New Roman"/>
                <w:color w:val="auto"/>
                <w:spacing w:val="-11"/>
                <w:sz w:val="24"/>
                <w:szCs w:val="24"/>
                <w:lang w:eastAsia="zh-CN"/>
              </w:rPr>
              <w:t>国家发改委</w:t>
            </w:r>
            <w:proofErr w:type="gramEnd"/>
            <w:r w:rsidRPr="00BA3B26">
              <w:rPr>
                <w:rFonts w:ascii="Times New Roman" w:eastAsia="仿宋_GB2312" w:hAnsi="Times New Roman" w:cs="Times New Roman"/>
                <w:color w:val="auto"/>
                <w:spacing w:val="-11"/>
                <w:sz w:val="24"/>
                <w:szCs w:val="24"/>
                <w:lang w:eastAsia="zh-CN"/>
              </w:rPr>
              <w:t>、生态环境部、工信部等十部门</w:t>
            </w:r>
          </w:p>
        </w:tc>
        <w:tc>
          <w:tcPr>
            <w:tcW w:w="2835" w:type="dxa"/>
            <w:vAlign w:val="center"/>
          </w:tcPr>
          <w:p w14:paraId="446BBBB7" w14:textId="33E01826" w:rsidR="00445F8C" w:rsidRPr="00065C90" w:rsidRDefault="00065C90" w:rsidP="00A843BF">
            <w:pPr>
              <w:pStyle w:val="TableText"/>
              <w:spacing w:line="360" w:lineRule="exact"/>
              <w:rPr>
                <w:rFonts w:ascii="Times New Roman" w:eastAsia="仿宋_GB2312" w:hAnsi="Times New Roman" w:cs="Times New Roman"/>
                <w:color w:val="auto"/>
                <w:spacing w:val="-2"/>
                <w:sz w:val="24"/>
                <w:szCs w:val="24"/>
                <w:lang w:eastAsia="zh-CN"/>
              </w:rPr>
            </w:pPr>
            <w:r w:rsidRPr="00065C90">
              <w:rPr>
                <w:rFonts w:ascii="Times New Roman" w:eastAsia="仿宋_GB2312" w:hAnsi="Times New Roman" w:cs="Times New Roman"/>
                <w:color w:val="auto"/>
                <w:spacing w:val="-2"/>
                <w:sz w:val="24"/>
                <w:szCs w:val="24"/>
                <w:lang w:eastAsia="zh-CN"/>
              </w:rPr>
              <w:t>加快推进燃料清洁替代，提升锅炉用能清洁化和效率水平，推动多污染物协同减排。</w:t>
            </w:r>
          </w:p>
        </w:tc>
      </w:tr>
      <w:tr w:rsidR="00445F8C" w14:paraId="40C26C7B" w14:textId="77777777" w:rsidTr="00084192">
        <w:trPr>
          <w:trHeight w:val="283"/>
        </w:trPr>
        <w:tc>
          <w:tcPr>
            <w:tcW w:w="1418" w:type="dxa"/>
            <w:tcBorders>
              <w:bottom w:val="single" w:sz="4" w:space="0" w:color="auto"/>
            </w:tcBorders>
            <w:vAlign w:val="center"/>
          </w:tcPr>
          <w:p w14:paraId="3778F6D8" w14:textId="77777777" w:rsidR="00445F8C" w:rsidRPr="00323207" w:rsidRDefault="00084192" w:rsidP="00A843BF">
            <w:pPr>
              <w:pStyle w:val="TableText"/>
              <w:spacing w:line="360" w:lineRule="exact"/>
              <w:jc w:val="center"/>
              <w:rPr>
                <w:rFonts w:ascii="Times New Roman" w:eastAsia="仿宋_GB2312" w:hAnsi="Times New Roman" w:cs="Times New Roman"/>
                <w:color w:val="auto"/>
                <w:spacing w:val="-1"/>
                <w:sz w:val="24"/>
                <w:szCs w:val="24"/>
                <w:lang w:eastAsia="zh-CN"/>
              </w:rPr>
            </w:pPr>
            <w:r w:rsidRPr="00323207">
              <w:rPr>
                <w:rFonts w:ascii="Times New Roman" w:eastAsia="仿宋_GB2312" w:hAnsi="Times New Roman" w:cs="Times New Roman"/>
                <w:color w:val="auto"/>
                <w:spacing w:val="-1"/>
                <w:sz w:val="24"/>
                <w:szCs w:val="24"/>
                <w:lang w:eastAsia="zh-CN"/>
              </w:rPr>
              <w:t>2023-12-19</w:t>
            </w:r>
          </w:p>
        </w:tc>
        <w:tc>
          <w:tcPr>
            <w:tcW w:w="3260" w:type="dxa"/>
            <w:tcBorders>
              <w:bottom w:val="single" w:sz="4" w:space="0" w:color="auto"/>
            </w:tcBorders>
            <w:vAlign w:val="center"/>
          </w:tcPr>
          <w:p w14:paraId="36A292B6"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关于印发《锅炉绿色低碳高质量发展行动方案》的通知</w:t>
            </w:r>
          </w:p>
          <w:p w14:paraId="15E32C95"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proofErr w:type="gramStart"/>
            <w:r w:rsidRPr="00323207">
              <w:rPr>
                <w:rFonts w:ascii="Times New Roman" w:eastAsia="仿宋_GB2312" w:hAnsi="Times New Roman" w:cs="Times New Roman"/>
                <w:color w:val="auto"/>
                <w:spacing w:val="-11"/>
                <w:sz w:val="24"/>
                <w:szCs w:val="24"/>
                <w:lang w:eastAsia="zh-CN"/>
              </w:rPr>
              <w:t>发改环</w:t>
            </w:r>
            <w:proofErr w:type="gramEnd"/>
            <w:r w:rsidRPr="00323207">
              <w:rPr>
                <w:rFonts w:ascii="Times New Roman" w:eastAsia="仿宋_GB2312" w:hAnsi="Times New Roman" w:cs="Times New Roman"/>
                <w:color w:val="auto"/>
                <w:spacing w:val="-11"/>
                <w:sz w:val="24"/>
                <w:szCs w:val="24"/>
                <w:lang w:eastAsia="zh-CN"/>
              </w:rPr>
              <w:t>资〔</w:t>
            </w:r>
            <w:r w:rsidRPr="00323207">
              <w:rPr>
                <w:rFonts w:ascii="Times New Roman" w:eastAsia="仿宋_GB2312" w:hAnsi="Times New Roman" w:cs="Times New Roman"/>
                <w:color w:val="auto"/>
                <w:spacing w:val="-11"/>
                <w:sz w:val="24"/>
                <w:szCs w:val="24"/>
                <w:lang w:eastAsia="zh-CN"/>
              </w:rPr>
              <w:t>2023</w:t>
            </w:r>
            <w:r w:rsidRPr="00323207">
              <w:rPr>
                <w:rFonts w:ascii="Times New Roman" w:eastAsia="仿宋_GB2312" w:hAnsi="Times New Roman" w:cs="Times New Roman"/>
                <w:color w:val="auto"/>
                <w:spacing w:val="-11"/>
                <w:sz w:val="24"/>
                <w:szCs w:val="24"/>
                <w:lang w:eastAsia="zh-CN"/>
              </w:rPr>
              <w:t>〕</w:t>
            </w:r>
            <w:r w:rsidRPr="00323207">
              <w:rPr>
                <w:rFonts w:ascii="Times New Roman" w:eastAsia="仿宋_GB2312" w:hAnsi="Times New Roman" w:cs="Times New Roman"/>
                <w:color w:val="auto"/>
                <w:spacing w:val="-11"/>
                <w:sz w:val="24"/>
                <w:szCs w:val="24"/>
                <w:lang w:eastAsia="zh-CN"/>
              </w:rPr>
              <w:t>1638</w:t>
            </w:r>
            <w:r w:rsidRPr="00323207">
              <w:rPr>
                <w:rFonts w:ascii="Times New Roman" w:eastAsia="仿宋_GB2312" w:hAnsi="Times New Roman" w:cs="Times New Roman"/>
                <w:color w:val="auto"/>
                <w:spacing w:val="-11"/>
                <w:sz w:val="24"/>
                <w:szCs w:val="24"/>
                <w:lang w:eastAsia="zh-CN"/>
              </w:rPr>
              <w:t>号</w:t>
            </w:r>
          </w:p>
        </w:tc>
        <w:tc>
          <w:tcPr>
            <w:tcW w:w="1418" w:type="dxa"/>
            <w:tcBorders>
              <w:bottom w:val="single" w:sz="4" w:space="0" w:color="auto"/>
            </w:tcBorders>
            <w:vAlign w:val="center"/>
          </w:tcPr>
          <w:p w14:paraId="47320926" w14:textId="772F669D" w:rsidR="00445F8C" w:rsidRPr="00BA3B26"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proofErr w:type="gramStart"/>
            <w:r w:rsidRPr="00BA3B26">
              <w:rPr>
                <w:rFonts w:ascii="Times New Roman" w:eastAsia="仿宋_GB2312" w:hAnsi="Times New Roman" w:cs="Times New Roman"/>
                <w:color w:val="auto"/>
                <w:spacing w:val="-11"/>
                <w:sz w:val="24"/>
                <w:szCs w:val="24"/>
                <w:lang w:eastAsia="zh-CN"/>
              </w:rPr>
              <w:t>国家发改委</w:t>
            </w:r>
            <w:proofErr w:type="gramEnd"/>
            <w:r w:rsidRPr="00BA3B26">
              <w:rPr>
                <w:rFonts w:ascii="Times New Roman" w:eastAsia="仿宋_GB2312" w:hAnsi="Times New Roman" w:cs="Times New Roman"/>
                <w:color w:val="auto"/>
                <w:spacing w:val="-11"/>
                <w:sz w:val="24"/>
                <w:szCs w:val="24"/>
                <w:lang w:eastAsia="zh-CN"/>
              </w:rPr>
              <w:t>、</w:t>
            </w:r>
            <w:r w:rsidR="00A843BF" w:rsidRPr="00A843BF">
              <w:rPr>
                <w:rFonts w:ascii="Times New Roman" w:eastAsia="仿宋_GB2312" w:hAnsi="Times New Roman" w:cs="Times New Roman"/>
                <w:color w:val="auto"/>
                <w:spacing w:val="-11"/>
                <w:sz w:val="24"/>
                <w:szCs w:val="24"/>
                <w:lang w:eastAsia="zh-CN"/>
              </w:rPr>
              <w:t>市场监督管理总局</w:t>
            </w:r>
            <w:r w:rsidR="00A843BF">
              <w:rPr>
                <w:rFonts w:ascii="Times New Roman" w:eastAsia="仿宋_GB2312" w:hAnsi="Times New Roman" w:cs="Times New Roman" w:hint="eastAsia"/>
                <w:color w:val="auto"/>
                <w:spacing w:val="-11"/>
                <w:sz w:val="24"/>
                <w:szCs w:val="24"/>
                <w:lang w:eastAsia="zh-CN"/>
              </w:rPr>
              <w:t>、</w:t>
            </w:r>
            <w:r w:rsidRPr="00BA3B26">
              <w:rPr>
                <w:rFonts w:ascii="Times New Roman" w:eastAsia="仿宋_GB2312" w:hAnsi="Times New Roman" w:cs="Times New Roman"/>
                <w:color w:val="auto"/>
                <w:spacing w:val="-11"/>
                <w:sz w:val="24"/>
                <w:szCs w:val="24"/>
                <w:lang w:eastAsia="zh-CN"/>
              </w:rPr>
              <w:t>工信部等五部门</w:t>
            </w:r>
          </w:p>
        </w:tc>
        <w:tc>
          <w:tcPr>
            <w:tcW w:w="2835" w:type="dxa"/>
            <w:tcBorders>
              <w:bottom w:val="single" w:sz="4" w:space="0" w:color="auto"/>
            </w:tcBorders>
            <w:vAlign w:val="center"/>
          </w:tcPr>
          <w:p w14:paraId="6595D969" w14:textId="0408545A" w:rsidR="00445F8C" w:rsidRPr="00BA3B26" w:rsidRDefault="00284933" w:rsidP="00284933">
            <w:pPr>
              <w:pStyle w:val="TableText"/>
              <w:spacing w:line="360" w:lineRule="exact"/>
              <w:rPr>
                <w:rFonts w:ascii="Times New Roman" w:eastAsia="仿宋_GB2312" w:hAnsi="Times New Roman" w:cs="Times New Roman"/>
                <w:color w:val="auto"/>
                <w:spacing w:val="4"/>
                <w:sz w:val="24"/>
                <w:szCs w:val="24"/>
                <w:lang w:eastAsia="zh-CN"/>
              </w:rPr>
            </w:pPr>
            <w:r w:rsidRPr="00284933">
              <w:rPr>
                <w:rFonts w:ascii="Times New Roman" w:eastAsia="仿宋_GB2312" w:hAnsi="Times New Roman" w:cs="Times New Roman"/>
                <w:color w:val="auto"/>
                <w:spacing w:val="4"/>
                <w:sz w:val="24"/>
                <w:szCs w:val="24"/>
                <w:lang w:eastAsia="zh-CN"/>
              </w:rPr>
              <w:t>推进燃煤锅炉掺烧农林废弃物等耦合生物质燃烧技术改造，完善生物质锅炉环保设施配置要求，</w:t>
            </w:r>
            <w:r w:rsidRPr="00284933">
              <w:rPr>
                <w:rFonts w:ascii="Times New Roman" w:eastAsia="仿宋_GB2312" w:hAnsi="Times New Roman" w:cs="Times New Roman"/>
                <w:color w:val="auto"/>
                <w:spacing w:val="4"/>
                <w:sz w:val="24"/>
                <w:szCs w:val="24"/>
                <w:lang w:eastAsia="zh-CN"/>
              </w:rPr>
              <w:lastRenderedPageBreak/>
              <w:t>加快健全生物质锅炉及成型燃料相关标准体系，强化燃烧控制、能效与排放管理，并推动与国际标准衔接。</w:t>
            </w:r>
          </w:p>
        </w:tc>
      </w:tr>
      <w:tr w:rsidR="00445F8C" w14:paraId="7B938E25" w14:textId="77777777" w:rsidTr="00084192">
        <w:trPr>
          <w:trHeight w:val="283"/>
        </w:trPr>
        <w:tc>
          <w:tcPr>
            <w:tcW w:w="1418" w:type="dxa"/>
            <w:tcBorders>
              <w:top w:val="single" w:sz="4" w:space="0" w:color="auto"/>
            </w:tcBorders>
            <w:vAlign w:val="center"/>
          </w:tcPr>
          <w:p w14:paraId="7DC894A1" w14:textId="77777777" w:rsidR="00445F8C" w:rsidRPr="00323207" w:rsidRDefault="00084192" w:rsidP="00A843BF">
            <w:pPr>
              <w:pStyle w:val="TableText"/>
              <w:spacing w:line="360" w:lineRule="exact"/>
              <w:jc w:val="center"/>
              <w:rPr>
                <w:rFonts w:ascii="Times New Roman" w:eastAsia="仿宋_GB2312" w:hAnsi="Times New Roman" w:cs="Times New Roman"/>
                <w:color w:val="auto"/>
                <w:sz w:val="24"/>
                <w:szCs w:val="24"/>
                <w:lang w:eastAsia="zh-CN"/>
              </w:rPr>
            </w:pPr>
            <w:r w:rsidRPr="00323207">
              <w:rPr>
                <w:rFonts w:ascii="Times New Roman" w:eastAsia="仿宋_GB2312" w:hAnsi="Times New Roman" w:cs="Times New Roman"/>
                <w:color w:val="auto"/>
                <w:spacing w:val="-1"/>
                <w:sz w:val="24"/>
                <w:szCs w:val="24"/>
              </w:rPr>
              <w:lastRenderedPageBreak/>
              <w:t>2014-05-16</w:t>
            </w:r>
          </w:p>
        </w:tc>
        <w:tc>
          <w:tcPr>
            <w:tcW w:w="3260" w:type="dxa"/>
            <w:tcBorders>
              <w:top w:val="single" w:sz="4" w:space="0" w:color="auto"/>
            </w:tcBorders>
            <w:vAlign w:val="center"/>
          </w:tcPr>
          <w:p w14:paraId="12FADE8D"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锅炉大气污染物排放标准</w:t>
            </w:r>
          </w:p>
          <w:p w14:paraId="3D3876A7" w14:textId="77777777" w:rsidR="00445F8C" w:rsidRPr="00323207" w:rsidRDefault="00084192"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GB 13271-2014</w:t>
            </w:r>
          </w:p>
        </w:tc>
        <w:tc>
          <w:tcPr>
            <w:tcW w:w="1418" w:type="dxa"/>
            <w:tcBorders>
              <w:top w:val="single" w:sz="4" w:space="0" w:color="auto"/>
            </w:tcBorders>
            <w:vAlign w:val="center"/>
          </w:tcPr>
          <w:p w14:paraId="3A2CBDAF" w14:textId="280063E5" w:rsidR="00445F8C" w:rsidRPr="00BA3B26" w:rsidRDefault="00084192" w:rsidP="00A843BF">
            <w:pPr>
              <w:pStyle w:val="TableText"/>
              <w:spacing w:line="360" w:lineRule="exact"/>
              <w:jc w:val="center"/>
              <w:rPr>
                <w:rFonts w:ascii="Times New Roman" w:eastAsia="仿宋_GB2312" w:hAnsi="Times New Roman" w:cs="Times New Roman"/>
                <w:color w:val="auto"/>
                <w:spacing w:val="-11"/>
                <w:sz w:val="24"/>
                <w:szCs w:val="24"/>
                <w:lang w:eastAsia="zh-CN"/>
              </w:rPr>
            </w:pPr>
            <w:r w:rsidRPr="00BA3B26">
              <w:rPr>
                <w:rFonts w:ascii="Times New Roman" w:eastAsia="仿宋_GB2312" w:hAnsi="Times New Roman" w:cs="Times New Roman"/>
                <w:color w:val="auto"/>
                <w:spacing w:val="-11"/>
                <w:sz w:val="24"/>
                <w:szCs w:val="24"/>
                <w:lang w:eastAsia="zh-CN"/>
              </w:rPr>
              <w:t>生态环境部</w:t>
            </w:r>
          </w:p>
        </w:tc>
        <w:tc>
          <w:tcPr>
            <w:tcW w:w="2835" w:type="dxa"/>
            <w:tcBorders>
              <w:top w:val="single" w:sz="4" w:space="0" w:color="auto"/>
            </w:tcBorders>
            <w:vAlign w:val="center"/>
          </w:tcPr>
          <w:p w14:paraId="6175B452" w14:textId="4E98AE1A" w:rsidR="00445F8C" w:rsidRPr="00BA3B26" w:rsidRDefault="00084192" w:rsidP="00A843BF">
            <w:pPr>
              <w:pStyle w:val="TableText"/>
              <w:spacing w:line="360" w:lineRule="exact"/>
              <w:rPr>
                <w:rFonts w:ascii="Times New Roman" w:eastAsia="仿宋_GB2312" w:hAnsi="Times New Roman" w:cs="Times New Roman"/>
                <w:color w:val="auto"/>
                <w:sz w:val="24"/>
                <w:szCs w:val="24"/>
                <w:lang w:eastAsia="zh-CN"/>
              </w:rPr>
            </w:pPr>
            <w:r w:rsidRPr="00BA3B26">
              <w:rPr>
                <w:rFonts w:ascii="Times New Roman" w:eastAsia="仿宋_GB2312" w:hAnsi="Times New Roman" w:cs="Times New Roman"/>
                <w:color w:val="auto"/>
                <w:spacing w:val="4"/>
                <w:sz w:val="24"/>
                <w:szCs w:val="24"/>
                <w:lang w:eastAsia="zh-CN"/>
              </w:rPr>
              <w:t>明确</w:t>
            </w:r>
            <w:r w:rsidR="00065C90">
              <w:rPr>
                <w:rFonts w:ascii="Times New Roman" w:eastAsia="仿宋_GB2312" w:hAnsi="Times New Roman" w:cs="Times New Roman" w:hint="eastAsia"/>
                <w:color w:val="auto"/>
                <w:spacing w:val="4"/>
                <w:sz w:val="24"/>
                <w:szCs w:val="24"/>
                <w:lang w:eastAsia="zh-CN"/>
              </w:rPr>
              <w:t>生物质</w:t>
            </w:r>
            <w:r w:rsidRPr="00BA3B26">
              <w:rPr>
                <w:rFonts w:ascii="Times New Roman" w:eastAsia="仿宋_GB2312" w:hAnsi="Times New Roman" w:cs="Times New Roman"/>
                <w:color w:val="auto"/>
                <w:spacing w:val="4"/>
                <w:sz w:val="24"/>
                <w:szCs w:val="24"/>
                <w:lang w:eastAsia="zh-CN"/>
              </w:rPr>
              <w:t>锅炉烟尘、</w:t>
            </w:r>
            <w:r w:rsidRPr="00BA3B26">
              <w:rPr>
                <w:rFonts w:ascii="Times New Roman" w:eastAsia="仿宋_GB2312" w:hAnsi="Times New Roman" w:cs="Times New Roman"/>
                <w:color w:val="auto"/>
                <w:spacing w:val="4"/>
                <w:sz w:val="24"/>
                <w:szCs w:val="24"/>
                <w:lang w:eastAsia="zh-CN"/>
              </w:rPr>
              <w:t>SO</w:t>
            </w:r>
            <w:r w:rsidRPr="00BA3B26">
              <w:rPr>
                <w:rFonts w:ascii="Times New Roman" w:eastAsia="仿宋_GB2312" w:hAnsi="Times New Roman" w:cs="Times New Roman"/>
                <w:color w:val="auto"/>
                <w:spacing w:val="4"/>
                <w:sz w:val="24"/>
                <w:szCs w:val="24"/>
                <w:vertAlign w:val="subscript"/>
                <w:lang w:eastAsia="zh-CN"/>
              </w:rPr>
              <w:t>2</w:t>
            </w:r>
            <w:r w:rsidRPr="00BA3B26">
              <w:rPr>
                <w:rFonts w:ascii="Times New Roman" w:eastAsia="仿宋_GB2312" w:hAnsi="Times New Roman" w:cs="Times New Roman"/>
                <w:color w:val="auto"/>
                <w:spacing w:val="4"/>
                <w:sz w:val="24"/>
                <w:szCs w:val="24"/>
                <w:lang w:eastAsia="zh-CN"/>
              </w:rPr>
              <w:t>、</w:t>
            </w:r>
            <w:r w:rsidRPr="00BA3B26">
              <w:rPr>
                <w:rFonts w:ascii="Times New Roman" w:eastAsia="仿宋_GB2312" w:hAnsi="Times New Roman" w:cs="Times New Roman"/>
                <w:color w:val="auto"/>
                <w:spacing w:val="4"/>
                <w:sz w:val="24"/>
                <w:szCs w:val="24"/>
                <w:lang w:eastAsia="zh-CN"/>
              </w:rPr>
              <w:t>NO</w:t>
            </w:r>
            <w:r w:rsidRPr="00BA3B26">
              <w:rPr>
                <w:rFonts w:ascii="Times New Roman" w:eastAsia="仿宋_GB2312" w:hAnsi="Times New Roman" w:cs="Times New Roman"/>
                <w:i/>
                <w:iCs/>
                <w:color w:val="auto"/>
                <w:spacing w:val="4"/>
                <w:sz w:val="24"/>
                <w:szCs w:val="24"/>
                <w:vertAlign w:val="subscript"/>
                <w:lang w:eastAsia="zh-CN"/>
              </w:rPr>
              <w:t>x</w:t>
            </w:r>
            <w:r w:rsidRPr="00BA3B26">
              <w:rPr>
                <w:rFonts w:ascii="Times New Roman" w:eastAsia="仿宋_GB2312" w:hAnsi="Times New Roman" w:cs="Times New Roman"/>
                <w:color w:val="auto"/>
                <w:spacing w:val="4"/>
                <w:sz w:val="24"/>
                <w:szCs w:val="24"/>
                <w:lang w:eastAsia="zh-CN"/>
              </w:rPr>
              <w:t>等排放限值与监测要求</w:t>
            </w:r>
            <w:r w:rsidR="00065C90">
              <w:rPr>
                <w:rFonts w:ascii="Times New Roman" w:eastAsia="仿宋_GB2312" w:hAnsi="Times New Roman" w:cs="Times New Roman" w:hint="eastAsia"/>
                <w:color w:val="auto"/>
                <w:spacing w:val="4"/>
                <w:sz w:val="24"/>
                <w:szCs w:val="24"/>
                <w:lang w:eastAsia="zh-CN"/>
              </w:rPr>
              <w:t>。</w:t>
            </w:r>
          </w:p>
        </w:tc>
      </w:tr>
      <w:tr w:rsidR="00445F8C" w14:paraId="38C41BB9" w14:textId="77777777" w:rsidTr="00084192">
        <w:trPr>
          <w:trHeight w:val="283"/>
        </w:trPr>
        <w:tc>
          <w:tcPr>
            <w:tcW w:w="1418" w:type="dxa"/>
            <w:vAlign w:val="center"/>
          </w:tcPr>
          <w:p w14:paraId="66C111E8" w14:textId="14011F27" w:rsidR="00445F8C" w:rsidRPr="00323207" w:rsidRDefault="00065C90" w:rsidP="00A843BF">
            <w:pPr>
              <w:pStyle w:val="TableText"/>
              <w:spacing w:line="360" w:lineRule="exact"/>
              <w:jc w:val="center"/>
              <w:rPr>
                <w:rFonts w:ascii="Times New Roman" w:eastAsia="仿宋_GB2312" w:hAnsi="Times New Roman" w:cs="Times New Roman"/>
                <w:color w:val="auto"/>
                <w:spacing w:val="-1"/>
                <w:sz w:val="24"/>
                <w:szCs w:val="24"/>
                <w:lang w:eastAsia="zh-CN"/>
              </w:rPr>
            </w:pPr>
            <w:r w:rsidRPr="00065C90">
              <w:rPr>
                <w:rFonts w:ascii="Times New Roman" w:eastAsia="仿宋_GB2312" w:hAnsi="Times New Roman" w:cs="Times New Roman"/>
                <w:color w:val="auto"/>
                <w:spacing w:val="-1"/>
                <w:sz w:val="24"/>
                <w:szCs w:val="24"/>
                <w:lang w:eastAsia="zh-CN"/>
              </w:rPr>
              <w:t>2024-10-26</w:t>
            </w:r>
          </w:p>
        </w:tc>
        <w:tc>
          <w:tcPr>
            <w:tcW w:w="3260" w:type="dxa"/>
            <w:vAlign w:val="center"/>
          </w:tcPr>
          <w:p w14:paraId="0020629E" w14:textId="77777777" w:rsidR="00065C90" w:rsidRDefault="00065C90"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065C90">
              <w:rPr>
                <w:rFonts w:ascii="Times New Roman" w:eastAsia="仿宋_GB2312" w:hAnsi="Times New Roman" w:cs="Times New Roman"/>
                <w:color w:val="auto"/>
                <w:spacing w:val="-11"/>
                <w:sz w:val="24"/>
                <w:szCs w:val="24"/>
                <w:lang w:eastAsia="zh-CN"/>
              </w:rPr>
              <w:t>生物质锅炉技术规范</w:t>
            </w:r>
          </w:p>
          <w:p w14:paraId="76A9CB41" w14:textId="0E312883" w:rsidR="00445F8C" w:rsidRPr="00323207" w:rsidRDefault="00B72B6D"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GB</w:t>
            </w:r>
            <w:r w:rsidR="00065C90">
              <w:rPr>
                <w:rFonts w:ascii="Times New Roman" w:eastAsia="仿宋_GB2312" w:hAnsi="Times New Roman" w:cs="Times New Roman" w:hint="eastAsia"/>
                <w:color w:val="auto"/>
                <w:spacing w:val="-11"/>
                <w:sz w:val="24"/>
                <w:szCs w:val="24"/>
                <w:lang w:eastAsia="zh-CN"/>
              </w:rPr>
              <w:t>/T</w:t>
            </w:r>
            <w:r w:rsidRPr="00323207">
              <w:rPr>
                <w:rFonts w:ascii="Times New Roman" w:eastAsia="仿宋_GB2312" w:hAnsi="Times New Roman" w:cs="Times New Roman"/>
                <w:color w:val="auto"/>
                <w:spacing w:val="-11"/>
                <w:sz w:val="24"/>
                <w:szCs w:val="24"/>
                <w:lang w:eastAsia="zh-CN"/>
              </w:rPr>
              <w:t xml:space="preserve"> </w:t>
            </w:r>
            <w:r>
              <w:rPr>
                <w:rFonts w:ascii="Times New Roman" w:eastAsia="仿宋_GB2312" w:hAnsi="Times New Roman" w:cs="Times New Roman" w:hint="eastAsia"/>
                <w:color w:val="auto"/>
                <w:spacing w:val="-11"/>
                <w:sz w:val="24"/>
                <w:szCs w:val="24"/>
                <w:lang w:eastAsia="zh-CN"/>
              </w:rPr>
              <w:t>44906</w:t>
            </w:r>
            <w:r w:rsidRPr="00323207">
              <w:rPr>
                <w:rFonts w:ascii="Times New Roman" w:eastAsia="仿宋_GB2312" w:hAnsi="Times New Roman" w:cs="Times New Roman"/>
                <w:color w:val="auto"/>
                <w:spacing w:val="-11"/>
                <w:sz w:val="24"/>
                <w:szCs w:val="24"/>
                <w:lang w:eastAsia="zh-CN"/>
              </w:rPr>
              <w:t>-20</w:t>
            </w:r>
            <w:r>
              <w:rPr>
                <w:rFonts w:ascii="Times New Roman" w:eastAsia="仿宋_GB2312" w:hAnsi="Times New Roman" w:cs="Times New Roman" w:hint="eastAsia"/>
                <w:color w:val="auto"/>
                <w:spacing w:val="-11"/>
                <w:sz w:val="24"/>
                <w:szCs w:val="24"/>
                <w:lang w:eastAsia="zh-CN"/>
              </w:rPr>
              <w:t>24</w:t>
            </w:r>
          </w:p>
        </w:tc>
        <w:tc>
          <w:tcPr>
            <w:tcW w:w="1418" w:type="dxa"/>
            <w:vAlign w:val="center"/>
          </w:tcPr>
          <w:p w14:paraId="6AE76B21" w14:textId="2FE6474E" w:rsidR="00445F8C" w:rsidRPr="00BA3B26" w:rsidRDefault="00065C90" w:rsidP="00A843BF">
            <w:pPr>
              <w:pStyle w:val="TableText"/>
              <w:spacing w:line="360" w:lineRule="exact"/>
              <w:jc w:val="center"/>
              <w:rPr>
                <w:rFonts w:ascii="Times New Roman" w:eastAsia="仿宋_GB2312" w:hAnsi="Times New Roman" w:cs="Times New Roman"/>
                <w:color w:val="auto"/>
                <w:spacing w:val="-11"/>
                <w:sz w:val="24"/>
                <w:szCs w:val="24"/>
                <w:lang w:eastAsia="zh-CN"/>
              </w:rPr>
            </w:pPr>
            <w:r w:rsidRPr="00065C90">
              <w:rPr>
                <w:rFonts w:ascii="Times New Roman" w:eastAsia="仿宋_GB2312" w:hAnsi="Times New Roman" w:cs="Times New Roman"/>
                <w:color w:val="auto"/>
                <w:spacing w:val="-11"/>
                <w:sz w:val="24"/>
                <w:szCs w:val="24"/>
                <w:lang w:eastAsia="zh-CN"/>
              </w:rPr>
              <w:t>市场监督管理总局、国家标准委</w:t>
            </w:r>
          </w:p>
        </w:tc>
        <w:tc>
          <w:tcPr>
            <w:tcW w:w="2835" w:type="dxa"/>
            <w:vAlign w:val="center"/>
          </w:tcPr>
          <w:p w14:paraId="4B05CE31" w14:textId="26CB2005" w:rsidR="00445F8C" w:rsidRPr="00323207" w:rsidRDefault="00756762" w:rsidP="00A843BF">
            <w:pPr>
              <w:pStyle w:val="TableText"/>
              <w:spacing w:line="360" w:lineRule="exact"/>
              <w:rPr>
                <w:rFonts w:ascii="Times New Roman" w:eastAsia="仿宋_GB2312" w:hAnsi="Times New Roman" w:cs="Times New Roman"/>
                <w:color w:val="auto"/>
                <w:spacing w:val="-3"/>
                <w:sz w:val="24"/>
                <w:szCs w:val="24"/>
                <w:lang w:eastAsia="zh-CN"/>
              </w:rPr>
            </w:pPr>
            <w:r w:rsidRPr="00756762">
              <w:rPr>
                <w:rFonts w:ascii="Times New Roman" w:eastAsia="仿宋_GB2312" w:hAnsi="Times New Roman" w:cs="Times New Roman"/>
                <w:color w:val="auto"/>
                <w:spacing w:val="-3"/>
                <w:sz w:val="24"/>
                <w:szCs w:val="24"/>
                <w:lang w:eastAsia="zh-CN"/>
              </w:rPr>
              <w:t>规范生物质锅炉设计、制造</w:t>
            </w:r>
            <w:r w:rsidR="00344921">
              <w:rPr>
                <w:rFonts w:ascii="Times New Roman" w:eastAsia="仿宋_GB2312" w:hAnsi="Times New Roman" w:cs="Times New Roman" w:hint="eastAsia"/>
                <w:color w:val="auto"/>
                <w:spacing w:val="-3"/>
                <w:sz w:val="24"/>
                <w:szCs w:val="24"/>
                <w:lang w:eastAsia="zh-CN"/>
              </w:rPr>
              <w:t>、</w:t>
            </w:r>
            <w:r w:rsidRPr="00756762">
              <w:rPr>
                <w:rFonts w:ascii="Times New Roman" w:eastAsia="仿宋_GB2312" w:hAnsi="Times New Roman" w:cs="Times New Roman"/>
                <w:color w:val="auto"/>
                <w:spacing w:val="-3"/>
                <w:sz w:val="24"/>
                <w:szCs w:val="24"/>
                <w:lang w:eastAsia="zh-CN"/>
              </w:rPr>
              <w:t>系统配置</w:t>
            </w:r>
            <w:r w:rsidR="00344921">
              <w:rPr>
                <w:rFonts w:ascii="Times New Roman" w:eastAsia="仿宋_GB2312" w:hAnsi="Times New Roman" w:cs="Times New Roman" w:hint="eastAsia"/>
                <w:color w:val="auto"/>
                <w:spacing w:val="-3"/>
                <w:sz w:val="24"/>
                <w:szCs w:val="24"/>
                <w:lang w:eastAsia="zh-CN"/>
              </w:rPr>
              <w:t>及运行维护</w:t>
            </w:r>
            <w:r w:rsidRPr="00756762">
              <w:rPr>
                <w:rFonts w:ascii="Times New Roman" w:eastAsia="仿宋_GB2312" w:hAnsi="Times New Roman" w:cs="Times New Roman"/>
                <w:color w:val="auto"/>
                <w:spacing w:val="-3"/>
                <w:sz w:val="24"/>
                <w:szCs w:val="24"/>
                <w:lang w:eastAsia="zh-CN"/>
              </w:rPr>
              <w:t>等技术要求，明确燃料适应性和性能控制要求。</w:t>
            </w:r>
          </w:p>
        </w:tc>
      </w:tr>
      <w:tr w:rsidR="00445F8C" w14:paraId="7F1A30CD" w14:textId="77777777" w:rsidTr="00084192">
        <w:trPr>
          <w:trHeight w:val="283"/>
        </w:trPr>
        <w:tc>
          <w:tcPr>
            <w:tcW w:w="1418" w:type="dxa"/>
            <w:tcBorders>
              <w:bottom w:val="single" w:sz="12" w:space="0" w:color="auto"/>
            </w:tcBorders>
            <w:vAlign w:val="center"/>
          </w:tcPr>
          <w:p w14:paraId="56684D97" w14:textId="699B7078" w:rsidR="00445F8C" w:rsidRPr="00323207" w:rsidRDefault="00065C90" w:rsidP="00A843BF">
            <w:pPr>
              <w:pStyle w:val="TableText"/>
              <w:spacing w:line="360" w:lineRule="exact"/>
              <w:jc w:val="center"/>
              <w:rPr>
                <w:rFonts w:ascii="Times New Roman" w:eastAsia="仿宋_GB2312" w:hAnsi="Times New Roman" w:cs="Times New Roman"/>
                <w:color w:val="auto"/>
                <w:spacing w:val="-1"/>
                <w:sz w:val="24"/>
                <w:szCs w:val="24"/>
                <w:lang w:eastAsia="zh-CN"/>
              </w:rPr>
            </w:pPr>
            <w:r w:rsidRPr="00065C90">
              <w:rPr>
                <w:rFonts w:ascii="Times New Roman" w:eastAsia="仿宋_GB2312" w:hAnsi="Times New Roman" w:cs="Times New Roman"/>
                <w:color w:val="auto"/>
                <w:spacing w:val="-1"/>
                <w:sz w:val="24"/>
                <w:szCs w:val="24"/>
                <w:lang w:eastAsia="zh-CN"/>
              </w:rPr>
              <w:t>2024-10-26</w:t>
            </w:r>
          </w:p>
        </w:tc>
        <w:tc>
          <w:tcPr>
            <w:tcW w:w="3260" w:type="dxa"/>
            <w:tcBorders>
              <w:bottom w:val="single" w:sz="12" w:space="0" w:color="auto"/>
            </w:tcBorders>
            <w:vAlign w:val="center"/>
          </w:tcPr>
          <w:p w14:paraId="6312F965" w14:textId="77777777" w:rsidR="00065C90" w:rsidRDefault="00065C90" w:rsidP="00B72B6D">
            <w:pPr>
              <w:pStyle w:val="TableText"/>
              <w:spacing w:line="360" w:lineRule="exact"/>
              <w:jc w:val="center"/>
              <w:rPr>
                <w:rFonts w:ascii="Times New Roman" w:eastAsia="仿宋_GB2312" w:hAnsi="Times New Roman" w:cs="Times New Roman"/>
                <w:color w:val="auto"/>
                <w:spacing w:val="-11"/>
                <w:sz w:val="24"/>
                <w:szCs w:val="24"/>
                <w:lang w:eastAsia="zh-CN"/>
              </w:rPr>
            </w:pPr>
            <w:r w:rsidRPr="00065C90">
              <w:rPr>
                <w:rFonts w:ascii="Times New Roman" w:eastAsia="仿宋_GB2312" w:hAnsi="Times New Roman" w:cs="Times New Roman"/>
                <w:color w:val="auto"/>
                <w:spacing w:val="-11"/>
                <w:sz w:val="24"/>
                <w:szCs w:val="24"/>
                <w:lang w:eastAsia="zh-CN"/>
              </w:rPr>
              <w:t>生物质锅炉质量性能评价技术准则</w:t>
            </w:r>
          </w:p>
          <w:p w14:paraId="08097826" w14:textId="3A5F9376" w:rsidR="00445F8C" w:rsidRPr="00323207" w:rsidRDefault="00B72B6D" w:rsidP="00B72B6D">
            <w:pPr>
              <w:pStyle w:val="TableText"/>
              <w:spacing w:line="360" w:lineRule="exact"/>
              <w:jc w:val="center"/>
              <w:rPr>
                <w:rFonts w:ascii="Times New Roman" w:eastAsia="仿宋_GB2312" w:hAnsi="Times New Roman" w:cs="Times New Roman"/>
                <w:color w:val="auto"/>
                <w:spacing w:val="-11"/>
                <w:sz w:val="24"/>
                <w:szCs w:val="24"/>
                <w:lang w:eastAsia="zh-CN"/>
              </w:rPr>
            </w:pPr>
            <w:r w:rsidRPr="00323207">
              <w:rPr>
                <w:rFonts w:ascii="Times New Roman" w:eastAsia="仿宋_GB2312" w:hAnsi="Times New Roman" w:cs="Times New Roman"/>
                <w:color w:val="auto"/>
                <w:spacing w:val="-11"/>
                <w:sz w:val="24"/>
                <w:szCs w:val="24"/>
                <w:lang w:eastAsia="zh-CN"/>
              </w:rPr>
              <w:t>GB</w:t>
            </w:r>
            <w:r w:rsidR="00344921">
              <w:rPr>
                <w:rFonts w:ascii="Times New Roman" w:eastAsia="仿宋_GB2312" w:hAnsi="Times New Roman" w:cs="Times New Roman" w:hint="eastAsia"/>
                <w:color w:val="auto"/>
                <w:spacing w:val="-11"/>
                <w:sz w:val="24"/>
                <w:szCs w:val="24"/>
                <w:lang w:eastAsia="zh-CN"/>
              </w:rPr>
              <w:t>/T</w:t>
            </w:r>
            <w:r w:rsidRPr="00323207">
              <w:rPr>
                <w:rFonts w:ascii="Times New Roman" w:eastAsia="仿宋_GB2312" w:hAnsi="Times New Roman" w:cs="Times New Roman"/>
                <w:color w:val="auto"/>
                <w:spacing w:val="-11"/>
                <w:sz w:val="24"/>
                <w:szCs w:val="24"/>
                <w:lang w:eastAsia="zh-CN"/>
              </w:rPr>
              <w:t xml:space="preserve"> </w:t>
            </w:r>
            <w:r>
              <w:rPr>
                <w:rFonts w:ascii="Times New Roman" w:eastAsia="仿宋_GB2312" w:hAnsi="Times New Roman" w:cs="Times New Roman" w:hint="eastAsia"/>
                <w:color w:val="auto"/>
                <w:spacing w:val="-11"/>
                <w:sz w:val="24"/>
                <w:szCs w:val="24"/>
                <w:lang w:eastAsia="zh-CN"/>
              </w:rPr>
              <w:t>44907</w:t>
            </w:r>
            <w:r w:rsidRPr="00323207">
              <w:rPr>
                <w:rFonts w:ascii="Times New Roman" w:eastAsia="仿宋_GB2312" w:hAnsi="Times New Roman" w:cs="Times New Roman"/>
                <w:color w:val="auto"/>
                <w:spacing w:val="-11"/>
                <w:sz w:val="24"/>
                <w:szCs w:val="24"/>
                <w:lang w:eastAsia="zh-CN"/>
              </w:rPr>
              <w:t>-20</w:t>
            </w:r>
            <w:r>
              <w:rPr>
                <w:rFonts w:ascii="Times New Roman" w:eastAsia="仿宋_GB2312" w:hAnsi="Times New Roman" w:cs="Times New Roman" w:hint="eastAsia"/>
                <w:color w:val="auto"/>
                <w:spacing w:val="-11"/>
                <w:sz w:val="24"/>
                <w:szCs w:val="24"/>
                <w:lang w:eastAsia="zh-CN"/>
              </w:rPr>
              <w:t>24</w:t>
            </w:r>
          </w:p>
        </w:tc>
        <w:tc>
          <w:tcPr>
            <w:tcW w:w="1418" w:type="dxa"/>
            <w:tcBorders>
              <w:bottom w:val="single" w:sz="12" w:space="0" w:color="auto"/>
            </w:tcBorders>
            <w:vAlign w:val="center"/>
          </w:tcPr>
          <w:p w14:paraId="6E52FE7A" w14:textId="3F9BE17F" w:rsidR="00445F8C" w:rsidRPr="00BA3B26" w:rsidRDefault="00A843BF" w:rsidP="00323207">
            <w:pPr>
              <w:pStyle w:val="TableText"/>
              <w:spacing w:line="360" w:lineRule="exact"/>
              <w:jc w:val="center"/>
              <w:rPr>
                <w:rFonts w:ascii="Times New Roman" w:eastAsia="仿宋_GB2312" w:hAnsi="Times New Roman" w:cs="Times New Roman"/>
                <w:color w:val="auto"/>
                <w:spacing w:val="-11"/>
                <w:sz w:val="24"/>
                <w:szCs w:val="24"/>
                <w:lang w:eastAsia="zh-CN"/>
              </w:rPr>
            </w:pPr>
            <w:r w:rsidRPr="00A843BF">
              <w:rPr>
                <w:rFonts w:ascii="Times New Roman" w:eastAsia="仿宋_GB2312" w:hAnsi="Times New Roman" w:cs="Times New Roman"/>
                <w:color w:val="auto"/>
                <w:spacing w:val="-11"/>
                <w:sz w:val="24"/>
                <w:szCs w:val="24"/>
                <w:lang w:eastAsia="zh-CN"/>
              </w:rPr>
              <w:t>市场监督管理总局</w:t>
            </w:r>
            <w:r w:rsidR="00065C90">
              <w:rPr>
                <w:rFonts w:ascii="Times New Roman" w:eastAsia="仿宋_GB2312" w:hAnsi="Times New Roman" w:cs="Times New Roman" w:hint="eastAsia"/>
                <w:color w:val="auto"/>
                <w:spacing w:val="-11"/>
                <w:sz w:val="24"/>
                <w:szCs w:val="24"/>
                <w:lang w:eastAsia="zh-CN"/>
              </w:rPr>
              <w:t>、</w:t>
            </w:r>
            <w:r w:rsidR="00065C90" w:rsidRPr="00065C90">
              <w:rPr>
                <w:rFonts w:ascii="Times New Roman" w:eastAsia="仿宋_GB2312" w:hAnsi="Times New Roman" w:cs="Times New Roman"/>
                <w:color w:val="auto"/>
                <w:spacing w:val="-11"/>
                <w:sz w:val="24"/>
                <w:szCs w:val="24"/>
                <w:lang w:eastAsia="zh-CN"/>
              </w:rPr>
              <w:t>国家标准委</w:t>
            </w:r>
          </w:p>
        </w:tc>
        <w:tc>
          <w:tcPr>
            <w:tcW w:w="2835" w:type="dxa"/>
            <w:tcBorders>
              <w:bottom w:val="single" w:sz="12" w:space="0" w:color="auto"/>
            </w:tcBorders>
            <w:vAlign w:val="center"/>
          </w:tcPr>
          <w:p w14:paraId="00F982C3" w14:textId="0BD3650D" w:rsidR="00445F8C" w:rsidRPr="00BA3B26" w:rsidRDefault="00756762" w:rsidP="00A843BF">
            <w:pPr>
              <w:pStyle w:val="TableText"/>
              <w:spacing w:line="360" w:lineRule="exact"/>
              <w:rPr>
                <w:rFonts w:ascii="Times New Roman" w:eastAsia="仿宋_GB2312" w:hAnsi="Times New Roman" w:cs="Times New Roman"/>
                <w:color w:val="auto"/>
                <w:spacing w:val="-3"/>
                <w:sz w:val="24"/>
                <w:szCs w:val="24"/>
                <w:lang w:eastAsia="zh-CN"/>
              </w:rPr>
            </w:pPr>
            <w:r w:rsidRPr="00756762">
              <w:rPr>
                <w:rFonts w:ascii="Times New Roman" w:eastAsia="仿宋_GB2312" w:hAnsi="Times New Roman" w:cs="Times New Roman"/>
                <w:color w:val="auto"/>
                <w:spacing w:val="-3"/>
                <w:sz w:val="24"/>
                <w:szCs w:val="24"/>
                <w:lang w:eastAsia="zh-CN"/>
              </w:rPr>
              <w:t>规定生物质锅炉生产端质量性能评价指标与方法，支撑产品性能评价</w:t>
            </w:r>
            <w:r>
              <w:rPr>
                <w:rFonts w:ascii="Times New Roman" w:eastAsia="仿宋_GB2312" w:hAnsi="Times New Roman" w:cs="Times New Roman" w:hint="eastAsia"/>
                <w:color w:val="auto"/>
                <w:spacing w:val="-3"/>
                <w:sz w:val="24"/>
                <w:szCs w:val="24"/>
                <w:lang w:eastAsia="zh-CN"/>
              </w:rPr>
              <w:t>。</w:t>
            </w:r>
          </w:p>
        </w:tc>
      </w:tr>
    </w:tbl>
    <w:p w14:paraId="02C86BB8" w14:textId="77777777" w:rsidR="00445F8C" w:rsidRDefault="00084192">
      <w:pPr>
        <w:autoSpaceDE w:val="0"/>
        <w:autoSpaceDN w:val="0"/>
        <w:adjustRightInd w:val="0"/>
        <w:spacing w:line="560" w:lineRule="exact"/>
        <w:ind w:firstLine="640"/>
        <w:jc w:val="left"/>
        <w:rPr>
          <w:rFonts w:eastAsia="黑体"/>
          <w:szCs w:val="32"/>
        </w:rPr>
      </w:pPr>
      <w:r>
        <w:rPr>
          <w:rFonts w:eastAsia="黑体"/>
          <w:szCs w:val="32"/>
        </w:rPr>
        <w:t>三、主要起草过程</w:t>
      </w:r>
    </w:p>
    <w:p w14:paraId="5DD912D0" w14:textId="77777777" w:rsidR="00445F8C" w:rsidRDefault="00084192">
      <w:pPr>
        <w:spacing w:line="560" w:lineRule="exact"/>
        <w:ind w:firstLine="643"/>
        <w:rPr>
          <w:rFonts w:eastAsia="楷体"/>
          <w:szCs w:val="28"/>
        </w:rPr>
      </w:pPr>
      <w:r>
        <w:rPr>
          <w:rFonts w:eastAsia="楷体"/>
          <w:b/>
          <w:szCs w:val="28"/>
        </w:rPr>
        <w:t>（一）成立标准编制工作组</w:t>
      </w:r>
    </w:p>
    <w:p w14:paraId="6BB38C68" w14:textId="77777777" w:rsidR="00445F8C" w:rsidRDefault="00084192">
      <w:pPr>
        <w:spacing w:line="560" w:lineRule="exact"/>
        <w:ind w:firstLine="640"/>
        <w:rPr>
          <w:szCs w:val="28"/>
        </w:rPr>
      </w:pPr>
      <w:r>
        <w:rPr>
          <w:szCs w:val="28"/>
        </w:rPr>
        <w:t>团体标准《生物质锅炉清洁燃烧评价指标体系》项目任务下达后，中国环境科学研究院成立了标准编制工作组，起草单位制定了起草编写方案与进度安排，明确任务职责，确定工作技术路线，开展标准研制工作。具体标准编制工作由中国环境科学研究院、清华大学、生态环境部华南环境科学研究所、福建龙净环保股份有限公司、浙江大学、中国科学院过程工程研究所、邯郸市环境监测中心、广西大学等单位负责人组成的标准编制工作组完成。</w:t>
      </w:r>
    </w:p>
    <w:p w14:paraId="621E5044" w14:textId="77777777" w:rsidR="00445F8C" w:rsidRDefault="00084192">
      <w:pPr>
        <w:spacing w:line="560" w:lineRule="exact"/>
        <w:ind w:firstLine="640"/>
        <w:rPr>
          <w:szCs w:val="28"/>
        </w:rPr>
      </w:pPr>
      <w:r>
        <w:rPr>
          <w:szCs w:val="28"/>
        </w:rPr>
        <w:t>编制工作组下设三个组，分别是资料收集组、草案编写组、标准实施组。</w:t>
      </w:r>
    </w:p>
    <w:p w14:paraId="3FFA1C7E" w14:textId="77777777" w:rsidR="00445F8C" w:rsidRDefault="00084192">
      <w:pPr>
        <w:spacing w:line="560" w:lineRule="exact"/>
        <w:ind w:firstLine="640"/>
        <w:rPr>
          <w:szCs w:val="28"/>
        </w:rPr>
      </w:pPr>
      <w:r>
        <w:rPr>
          <w:szCs w:val="28"/>
        </w:rPr>
        <w:t>资料收集组负责国内外有关生物质锅炉清洁燃烧评价指标的文献资料的查询、收集和整理工作，查阅前人对生物质锅炉清</w:t>
      </w:r>
      <w:r>
        <w:rPr>
          <w:szCs w:val="28"/>
        </w:rPr>
        <w:lastRenderedPageBreak/>
        <w:t>洁燃烧评价指标的研究情况。</w:t>
      </w:r>
    </w:p>
    <w:p w14:paraId="7923D4CD" w14:textId="77777777" w:rsidR="00445F8C" w:rsidRDefault="00084192">
      <w:pPr>
        <w:spacing w:line="560" w:lineRule="exact"/>
        <w:ind w:firstLine="640"/>
        <w:rPr>
          <w:szCs w:val="28"/>
        </w:rPr>
      </w:pPr>
      <w:r>
        <w:rPr>
          <w:szCs w:val="28"/>
        </w:rPr>
        <w:t>草案编写组负责起草标准草案、征求意见稿和标准编制说明、送审稿及编制说明的编写工作，包括后期召开征求意见会、网上征求意见，以及标准的不断修改和完善。</w:t>
      </w:r>
    </w:p>
    <w:p w14:paraId="6EA7C42A" w14:textId="77777777" w:rsidR="00445F8C" w:rsidRDefault="00084192">
      <w:pPr>
        <w:spacing w:line="560" w:lineRule="exact"/>
        <w:ind w:firstLine="640"/>
        <w:rPr>
          <w:szCs w:val="28"/>
        </w:rPr>
      </w:pPr>
      <w:r>
        <w:rPr>
          <w:szCs w:val="28"/>
        </w:rPr>
        <w:t>标准</w:t>
      </w:r>
      <w:proofErr w:type="gramStart"/>
      <w:r>
        <w:rPr>
          <w:szCs w:val="28"/>
        </w:rPr>
        <w:t>实施组</w:t>
      </w:r>
      <w:proofErr w:type="gramEnd"/>
      <w:r>
        <w:rPr>
          <w:szCs w:val="28"/>
        </w:rPr>
        <w:t>负责团体标准《生物质锅炉清洁燃烧评价指标体系》发布后，组织相关医疗单位开展标准宣贯培训会，对标准进行详细解读，</w:t>
      </w:r>
      <w:proofErr w:type="gramStart"/>
      <w:r>
        <w:rPr>
          <w:szCs w:val="28"/>
        </w:rPr>
        <w:t>让相关</w:t>
      </w:r>
      <w:proofErr w:type="gramEnd"/>
      <w:r>
        <w:rPr>
          <w:szCs w:val="28"/>
        </w:rPr>
        <w:t>人员了解标准，并根据标准对生物质锅炉清洁燃烧评价指标进行规范化操作，并对标准实施情况进行总结分析，不断对团体标准提出修正意见。</w:t>
      </w:r>
    </w:p>
    <w:p w14:paraId="351D7DAA" w14:textId="77777777" w:rsidR="00445F8C" w:rsidRDefault="00084192">
      <w:pPr>
        <w:spacing w:line="560" w:lineRule="exact"/>
        <w:ind w:firstLine="643"/>
        <w:rPr>
          <w:rFonts w:eastAsia="楷体"/>
          <w:b/>
          <w:szCs w:val="28"/>
        </w:rPr>
      </w:pPr>
      <w:r>
        <w:rPr>
          <w:rFonts w:eastAsia="楷体"/>
          <w:b/>
          <w:szCs w:val="28"/>
        </w:rPr>
        <w:t>（二）收集整理文献资料</w:t>
      </w:r>
    </w:p>
    <w:p w14:paraId="476AA6B8" w14:textId="77777777" w:rsidR="00445F8C" w:rsidRDefault="00084192">
      <w:pPr>
        <w:spacing w:line="560" w:lineRule="exact"/>
        <w:ind w:firstLine="640"/>
        <w:rPr>
          <w:szCs w:val="28"/>
          <w:lang w:val="fr-FR"/>
        </w:rPr>
      </w:pPr>
      <w:r>
        <w:rPr>
          <w:szCs w:val="28"/>
        </w:rPr>
        <w:t>标准编制工作组收集了国内有关生物质锅炉清洁燃烧评价指标相关文献资料。主要有</w:t>
      </w:r>
      <w:r>
        <w:rPr>
          <w:szCs w:val="28"/>
          <w:lang w:val="fr-FR"/>
        </w:rPr>
        <w:t>：</w:t>
      </w:r>
    </w:p>
    <w:p w14:paraId="4FD2ED7D" w14:textId="6A0F7ECE" w:rsidR="003A36B0" w:rsidRPr="003A36B0" w:rsidRDefault="003A36B0" w:rsidP="003A36B0">
      <w:pPr>
        <w:spacing w:line="560" w:lineRule="exact"/>
        <w:ind w:firstLine="640"/>
        <w:rPr>
          <w:szCs w:val="28"/>
        </w:rPr>
      </w:pPr>
      <w:r w:rsidRPr="003A36B0">
        <w:rPr>
          <w:rFonts w:hint="eastAsia"/>
          <w:szCs w:val="28"/>
        </w:rPr>
        <w:t>GB 13271</w:t>
      </w:r>
      <w:r>
        <w:rPr>
          <w:rFonts w:hint="eastAsia"/>
          <w:szCs w:val="28"/>
        </w:rPr>
        <w:t>-2014</w:t>
      </w:r>
      <w:r w:rsidRPr="003A36B0">
        <w:rPr>
          <w:rFonts w:hint="eastAsia"/>
          <w:szCs w:val="28"/>
        </w:rPr>
        <w:t xml:space="preserve">  </w:t>
      </w:r>
      <w:r w:rsidRPr="003A36B0">
        <w:rPr>
          <w:rFonts w:hint="eastAsia"/>
          <w:szCs w:val="28"/>
        </w:rPr>
        <w:t>锅炉大气污染物排放标准</w:t>
      </w:r>
    </w:p>
    <w:p w14:paraId="69EDAC56" w14:textId="49790A37" w:rsidR="003A36B0" w:rsidRPr="003A36B0" w:rsidRDefault="003A36B0" w:rsidP="003A36B0">
      <w:pPr>
        <w:spacing w:line="560" w:lineRule="exact"/>
        <w:ind w:firstLine="640"/>
        <w:rPr>
          <w:szCs w:val="28"/>
        </w:rPr>
      </w:pPr>
      <w:r w:rsidRPr="003A36B0">
        <w:rPr>
          <w:rFonts w:hint="eastAsia"/>
          <w:szCs w:val="28"/>
        </w:rPr>
        <w:t>GB 17167</w:t>
      </w:r>
      <w:r>
        <w:rPr>
          <w:rFonts w:hint="eastAsia"/>
          <w:szCs w:val="28"/>
        </w:rPr>
        <w:t>-2025</w:t>
      </w:r>
      <w:r w:rsidRPr="003A36B0">
        <w:rPr>
          <w:rFonts w:hint="eastAsia"/>
          <w:szCs w:val="28"/>
        </w:rPr>
        <w:t xml:space="preserve">  </w:t>
      </w:r>
      <w:r w:rsidRPr="003A36B0">
        <w:rPr>
          <w:rFonts w:hint="eastAsia"/>
          <w:szCs w:val="28"/>
        </w:rPr>
        <w:t>用能单位能源计量器具配备和管理通则</w:t>
      </w:r>
    </w:p>
    <w:p w14:paraId="5DF9522E" w14:textId="3480A46F" w:rsidR="003A36B0" w:rsidRPr="003A36B0" w:rsidRDefault="003A36B0" w:rsidP="003A36B0">
      <w:pPr>
        <w:spacing w:line="560" w:lineRule="exact"/>
        <w:ind w:firstLine="640"/>
        <w:rPr>
          <w:szCs w:val="28"/>
        </w:rPr>
      </w:pPr>
      <w:r w:rsidRPr="003A36B0">
        <w:rPr>
          <w:rFonts w:hint="eastAsia"/>
          <w:szCs w:val="28"/>
        </w:rPr>
        <w:t>GB 23331</w:t>
      </w:r>
      <w:r>
        <w:rPr>
          <w:rFonts w:hint="eastAsia"/>
          <w:szCs w:val="28"/>
        </w:rPr>
        <w:t>-2020</w:t>
      </w:r>
      <w:r w:rsidRPr="003A36B0">
        <w:rPr>
          <w:rFonts w:hint="eastAsia"/>
          <w:szCs w:val="28"/>
        </w:rPr>
        <w:t xml:space="preserve">  </w:t>
      </w:r>
      <w:r w:rsidRPr="003A36B0">
        <w:rPr>
          <w:rFonts w:hint="eastAsia"/>
          <w:szCs w:val="28"/>
        </w:rPr>
        <w:t>能源管理体系</w:t>
      </w:r>
      <w:r w:rsidRPr="003A36B0">
        <w:rPr>
          <w:rFonts w:hint="eastAsia"/>
          <w:szCs w:val="28"/>
        </w:rPr>
        <w:t xml:space="preserve">  </w:t>
      </w:r>
      <w:r w:rsidRPr="003A36B0">
        <w:rPr>
          <w:rFonts w:hint="eastAsia"/>
          <w:szCs w:val="28"/>
        </w:rPr>
        <w:t>要求及使用指南</w:t>
      </w:r>
    </w:p>
    <w:p w14:paraId="40D2A0FA" w14:textId="6CC3D2CC" w:rsidR="003A36B0" w:rsidRPr="003A36B0" w:rsidRDefault="003A36B0" w:rsidP="003A36B0">
      <w:pPr>
        <w:spacing w:line="560" w:lineRule="exact"/>
        <w:ind w:firstLine="640"/>
        <w:rPr>
          <w:szCs w:val="28"/>
        </w:rPr>
      </w:pPr>
      <w:r w:rsidRPr="003A36B0">
        <w:rPr>
          <w:rFonts w:hint="eastAsia"/>
          <w:szCs w:val="28"/>
        </w:rPr>
        <w:t>GB/T 24001</w:t>
      </w:r>
      <w:r>
        <w:rPr>
          <w:rFonts w:hint="eastAsia"/>
          <w:szCs w:val="28"/>
        </w:rPr>
        <w:t>-2016</w:t>
      </w:r>
      <w:r w:rsidRPr="003A36B0">
        <w:rPr>
          <w:rFonts w:hint="eastAsia"/>
          <w:szCs w:val="28"/>
        </w:rPr>
        <w:t xml:space="preserve">  </w:t>
      </w:r>
      <w:r w:rsidRPr="003A36B0">
        <w:rPr>
          <w:rFonts w:hint="eastAsia"/>
          <w:szCs w:val="28"/>
        </w:rPr>
        <w:t>环境管理体系</w:t>
      </w:r>
      <w:r w:rsidRPr="003A36B0">
        <w:rPr>
          <w:rFonts w:hint="eastAsia"/>
          <w:szCs w:val="28"/>
        </w:rPr>
        <w:t xml:space="preserve">  </w:t>
      </w:r>
      <w:r w:rsidRPr="003A36B0">
        <w:rPr>
          <w:rFonts w:hint="eastAsia"/>
          <w:szCs w:val="28"/>
        </w:rPr>
        <w:t>要求及使用指南</w:t>
      </w:r>
    </w:p>
    <w:p w14:paraId="6B7670BB" w14:textId="3BE799D5" w:rsidR="003A36B0" w:rsidRPr="003A36B0" w:rsidRDefault="003A36B0" w:rsidP="003A36B0">
      <w:pPr>
        <w:spacing w:line="560" w:lineRule="exact"/>
        <w:ind w:firstLine="640"/>
        <w:rPr>
          <w:szCs w:val="28"/>
        </w:rPr>
      </w:pPr>
      <w:r w:rsidRPr="003A36B0">
        <w:rPr>
          <w:rFonts w:hint="eastAsia"/>
          <w:szCs w:val="28"/>
        </w:rPr>
        <w:t>GB/T 24789</w:t>
      </w:r>
      <w:r>
        <w:rPr>
          <w:rFonts w:hint="eastAsia"/>
          <w:szCs w:val="28"/>
        </w:rPr>
        <w:t>-2022</w:t>
      </w:r>
      <w:r w:rsidRPr="003A36B0">
        <w:rPr>
          <w:rFonts w:hint="eastAsia"/>
          <w:szCs w:val="28"/>
        </w:rPr>
        <w:t xml:space="preserve">  </w:t>
      </w:r>
      <w:r w:rsidRPr="003A36B0">
        <w:rPr>
          <w:rFonts w:hint="eastAsia"/>
          <w:szCs w:val="28"/>
        </w:rPr>
        <w:t>用水单位水计量器具配备和管理通则</w:t>
      </w:r>
    </w:p>
    <w:p w14:paraId="39CFB4F0" w14:textId="217CA7D5" w:rsidR="003A36B0" w:rsidRPr="003A36B0" w:rsidRDefault="003A36B0" w:rsidP="003A36B0">
      <w:pPr>
        <w:spacing w:line="560" w:lineRule="exact"/>
        <w:ind w:firstLine="640"/>
        <w:rPr>
          <w:szCs w:val="28"/>
        </w:rPr>
      </w:pPr>
      <w:r w:rsidRPr="003A36B0">
        <w:rPr>
          <w:rFonts w:hint="eastAsia"/>
          <w:szCs w:val="28"/>
        </w:rPr>
        <w:t>GB/T 43329</w:t>
      </w:r>
      <w:r>
        <w:rPr>
          <w:rFonts w:hint="eastAsia"/>
          <w:szCs w:val="28"/>
        </w:rPr>
        <w:t>-2023</w:t>
      </w:r>
      <w:r w:rsidRPr="003A36B0">
        <w:rPr>
          <w:rFonts w:hint="eastAsia"/>
          <w:szCs w:val="28"/>
        </w:rPr>
        <w:t xml:space="preserve">  </w:t>
      </w:r>
      <w:r w:rsidRPr="003A36B0">
        <w:rPr>
          <w:rFonts w:hint="eastAsia"/>
          <w:szCs w:val="28"/>
        </w:rPr>
        <w:t>清洁生产评价指标体系编制通则</w:t>
      </w:r>
    </w:p>
    <w:p w14:paraId="705D3087" w14:textId="310C5F3D" w:rsidR="003A36B0" w:rsidRDefault="003A36B0" w:rsidP="003A36B0">
      <w:pPr>
        <w:spacing w:line="560" w:lineRule="exact"/>
        <w:ind w:firstLine="640"/>
        <w:rPr>
          <w:szCs w:val="28"/>
        </w:rPr>
      </w:pPr>
      <w:r w:rsidRPr="003A36B0">
        <w:rPr>
          <w:rFonts w:hint="eastAsia"/>
          <w:szCs w:val="28"/>
        </w:rPr>
        <w:t>GB/T 44906</w:t>
      </w:r>
      <w:r>
        <w:rPr>
          <w:rFonts w:hint="eastAsia"/>
          <w:szCs w:val="28"/>
        </w:rPr>
        <w:t>-2025</w:t>
      </w:r>
      <w:r w:rsidRPr="003A36B0">
        <w:rPr>
          <w:rFonts w:hint="eastAsia"/>
          <w:szCs w:val="28"/>
        </w:rPr>
        <w:t xml:space="preserve">  </w:t>
      </w:r>
      <w:r w:rsidRPr="003A36B0">
        <w:rPr>
          <w:rFonts w:hint="eastAsia"/>
          <w:szCs w:val="28"/>
        </w:rPr>
        <w:t>生物质锅炉技术规范</w:t>
      </w:r>
    </w:p>
    <w:p w14:paraId="7E421C1E" w14:textId="2C7DC7AE" w:rsidR="003A36B0" w:rsidRPr="003A36B0" w:rsidRDefault="003A36B0" w:rsidP="003A36B0">
      <w:pPr>
        <w:spacing w:line="560" w:lineRule="exact"/>
        <w:ind w:firstLine="640"/>
        <w:rPr>
          <w:szCs w:val="28"/>
        </w:rPr>
      </w:pPr>
      <w:r w:rsidRPr="003A36B0">
        <w:rPr>
          <w:rFonts w:hint="eastAsia"/>
          <w:szCs w:val="28"/>
        </w:rPr>
        <w:t>GB/T 4490</w:t>
      </w:r>
      <w:r>
        <w:rPr>
          <w:rFonts w:hint="eastAsia"/>
          <w:szCs w:val="28"/>
        </w:rPr>
        <w:t>7-2025</w:t>
      </w:r>
      <w:r w:rsidRPr="003A36B0">
        <w:rPr>
          <w:rFonts w:hint="eastAsia"/>
          <w:szCs w:val="28"/>
        </w:rPr>
        <w:t xml:space="preserve">  </w:t>
      </w:r>
      <w:r w:rsidRPr="003A36B0">
        <w:rPr>
          <w:rFonts w:hint="eastAsia"/>
          <w:szCs w:val="28"/>
        </w:rPr>
        <w:t>生物质锅炉质量性能评价技术准则</w:t>
      </w:r>
    </w:p>
    <w:p w14:paraId="421BA6F9" w14:textId="1A3AB5C8" w:rsidR="003A36B0" w:rsidRPr="003A36B0" w:rsidRDefault="003A36B0" w:rsidP="003A36B0">
      <w:pPr>
        <w:spacing w:line="560" w:lineRule="exact"/>
        <w:ind w:firstLine="640"/>
        <w:rPr>
          <w:szCs w:val="28"/>
        </w:rPr>
      </w:pPr>
      <w:r w:rsidRPr="003A36B0">
        <w:rPr>
          <w:rFonts w:hint="eastAsia"/>
          <w:szCs w:val="28"/>
        </w:rPr>
        <w:t>GB/T 45001</w:t>
      </w:r>
      <w:r>
        <w:rPr>
          <w:rFonts w:hint="eastAsia"/>
          <w:szCs w:val="28"/>
        </w:rPr>
        <w:t>-2020</w:t>
      </w:r>
      <w:r w:rsidRPr="003A36B0">
        <w:rPr>
          <w:rFonts w:hint="eastAsia"/>
          <w:szCs w:val="28"/>
        </w:rPr>
        <w:t xml:space="preserve">  </w:t>
      </w:r>
      <w:r w:rsidRPr="003A36B0">
        <w:rPr>
          <w:rFonts w:hint="eastAsia"/>
          <w:szCs w:val="28"/>
        </w:rPr>
        <w:t>职业健康安全管理体系</w:t>
      </w:r>
      <w:r w:rsidRPr="003A36B0">
        <w:rPr>
          <w:rFonts w:hint="eastAsia"/>
          <w:szCs w:val="28"/>
        </w:rPr>
        <w:t xml:space="preserve">  </w:t>
      </w:r>
      <w:r w:rsidRPr="003A36B0">
        <w:rPr>
          <w:rFonts w:hint="eastAsia"/>
          <w:szCs w:val="28"/>
        </w:rPr>
        <w:t>要求及使用指南</w:t>
      </w:r>
    </w:p>
    <w:p w14:paraId="39E18915" w14:textId="11A0ADDD" w:rsidR="003A36B0" w:rsidRPr="003A36B0" w:rsidRDefault="003A36B0" w:rsidP="003A36B0">
      <w:pPr>
        <w:spacing w:line="560" w:lineRule="exact"/>
        <w:ind w:firstLine="640"/>
        <w:rPr>
          <w:szCs w:val="28"/>
        </w:rPr>
      </w:pPr>
      <w:r w:rsidRPr="003A36B0">
        <w:rPr>
          <w:rFonts w:hint="eastAsia"/>
          <w:szCs w:val="28"/>
        </w:rPr>
        <w:t>HJ 75</w:t>
      </w:r>
      <w:r>
        <w:rPr>
          <w:rFonts w:hint="eastAsia"/>
          <w:szCs w:val="28"/>
        </w:rPr>
        <w:t>-2017</w:t>
      </w:r>
      <w:r w:rsidRPr="003A36B0">
        <w:rPr>
          <w:rFonts w:hint="eastAsia"/>
          <w:szCs w:val="28"/>
        </w:rPr>
        <w:t xml:space="preserve">  </w:t>
      </w:r>
      <w:r w:rsidRPr="003A36B0">
        <w:rPr>
          <w:rFonts w:hint="eastAsia"/>
          <w:szCs w:val="28"/>
        </w:rPr>
        <w:t>固定污染源烟气（</w:t>
      </w:r>
      <w:r w:rsidRPr="003A36B0">
        <w:rPr>
          <w:rFonts w:hint="eastAsia"/>
          <w:szCs w:val="28"/>
        </w:rPr>
        <w:t>SO2</w:t>
      </w:r>
      <w:r w:rsidRPr="003A36B0">
        <w:rPr>
          <w:rFonts w:hint="eastAsia"/>
          <w:szCs w:val="28"/>
        </w:rPr>
        <w:t>、</w:t>
      </w:r>
      <w:r w:rsidRPr="003A36B0">
        <w:rPr>
          <w:rFonts w:hint="eastAsia"/>
          <w:szCs w:val="28"/>
        </w:rPr>
        <w:t>NOX</w:t>
      </w:r>
      <w:r w:rsidRPr="003A36B0">
        <w:rPr>
          <w:rFonts w:hint="eastAsia"/>
          <w:szCs w:val="28"/>
        </w:rPr>
        <w:t>、颗粒物）排放连续监测技术规范</w:t>
      </w:r>
    </w:p>
    <w:p w14:paraId="36FA2281" w14:textId="31B2E097" w:rsidR="003A36B0" w:rsidRDefault="003A36B0" w:rsidP="003A36B0">
      <w:pPr>
        <w:spacing w:line="560" w:lineRule="exact"/>
        <w:ind w:firstLine="640"/>
        <w:rPr>
          <w:szCs w:val="28"/>
        </w:rPr>
      </w:pPr>
      <w:r w:rsidRPr="003A36B0">
        <w:rPr>
          <w:rFonts w:hint="eastAsia"/>
          <w:szCs w:val="28"/>
        </w:rPr>
        <w:lastRenderedPageBreak/>
        <w:t>NB/T 34024</w:t>
      </w:r>
      <w:r>
        <w:rPr>
          <w:rFonts w:hint="eastAsia"/>
          <w:szCs w:val="28"/>
        </w:rPr>
        <w:t>-2015</w:t>
      </w:r>
      <w:r w:rsidRPr="003A36B0">
        <w:rPr>
          <w:rFonts w:hint="eastAsia"/>
          <w:szCs w:val="28"/>
        </w:rPr>
        <w:t xml:space="preserve">  </w:t>
      </w:r>
      <w:r w:rsidRPr="003A36B0">
        <w:rPr>
          <w:rFonts w:hint="eastAsia"/>
          <w:szCs w:val="28"/>
        </w:rPr>
        <w:t>生物质成型燃料质量分级</w:t>
      </w:r>
    </w:p>
    <w:p w14:paraId="4ABCB5EE" w14:textId="126B0FE5" w:rsidR="003A36B0" w:rsidRPr="003A36B0" w:rsidRDefault="003A36B0" w:rsidP="003A36B0">
      <w:pPr>
        <w:spacing w:line="560" w:lineRule="exact"/>
        <w:ind w:firstLine="640"/>
        <w:rPr>
          <w:szCs w:val="28"/>
        </w:rPr>
      </w:pPr>
      <w:r w:rsidRPr="003A36B0">
        <w:rPr>
          <w:rFonts w:hint="eastAsia"/>
          <w:szCs w:val="28"/>
        </w:rPr>
        <w:t>NB</w:t>
      </w:r>
      <w:r w:rsidRPr="003A36B0">
        <w:rPr>
          <w:rFonts w:ascii="Cambria Math" w:hAnsi="Cambria Math" w:cs="Cambria Math"/>
          <w:szCs w:val="28"/>
        </w:rPr>
        <w:t>∕</w:t>
      </w:r>
      <w:r w:rsidRPr="003A36B0">
        <w:rPr>
          <w:rFonts w:hint="eastAsia"/>
          <w:szCs w:val="28"/>
        </w:rPr>
        <w:t xml:space="preserve">T 34063-2018  </w:t>
      </w:r>
      <w:r w:rsidRPr="003A36B0">
        <w:rPr>
          <w:rFonts w:hint="eastAsia"/>
          <w:szCs w:val="28"/>
        </w:rPr>
        <w:t>生物质锅炉供热成型燃料术语</w:t>
      </w:r>
    </w:p>
    <w:p w14:paraId="449C3A23" w14:textId="304D8395" w:rsidR="003A36B0" w:rsidRPr="003A36B0" w:rsidRDefault="003A36B0" w:rsidP="003A36B0">
      <w:pPr>
        <w:spacing w:line="560" w:lineRule="exact"/>
        <w:ind w:firstLine="640"/>
        <w:rPr>
          <w:szCs w:val="28"/>
        </w:rPr>
      </w:pPr>
      <w:r w:rsidRPr="003A36B0">
        <w:rPr>
          <w:rFonts w:hint="eastAsia"/>
          <w:szCs w:val="28"/>
        </w:rPr>
        <w:t>NB</w:t>
      </w:r>
      <w:r w:rsidRPr="003A36B0">
        <w:rPr>
          <w:rFonts w:ascii="Cambria Math" w:hAnsi="Cambria Math" w:cs="Cambria Math"/>
          <w:szCs w:val="28"/>
        </w:rPr>
        <w:t>∕</w:t>
      </w:r>
      <w:r w:rsidRPr="003A36B0">
        <w:rPr>
          <w:rFonts w:hint="eastAsia"/>
          <w:szCs w:val="28"/>
        </w:rPr>
        <w:t xml:space="preserve">T 42030-2014  </w:t>
      </w:r>
      <w:r w:rsidRPr="003A36B0">
        <w:rPr>
          <w:rFonts w:hint="eastAsia"/>
          <w:szCs w:val="28"/>
        </w:rPr>
        <w:t>生物质循环流化床锅炉技术条件</w:t>
      </w:r>
    </w:p>
    <w:p w14:paraId="386F1FEA" w14:textId="28BDB83B" w:rsidR="003A36B0" w:rsidRPr="003A36B0" w:rsidRDefault="003A36B0" w:rsidP="003A36B0">
      <w:pPr>
        <w:spacing w:line="560" w:lineRule="exact"/>
        <w:ind w:firstLine="640"/>
        <w:rPr>
          <w:szCs w:val="28"/>
        </w:rPr>
      </w:pPr>
      <w:r w:rsidRPr="003A36B0">
        <w:rPr>
          <w:rFonts w:hint="eastAsia"/>
          <w:szCs w:val="28"/>
        </w:rPr>
        <w:t>NB</w:t>
      </w:r>
      <w:r w:rsidRPr="003A36B0">
        <w:rPr>
          <w:rFonts w:ascii="Cambria Math" w:hAnsi="Cambria Math" w:cs="Cambria Math"/>
          <w:szCs w:val="28"/>
        </w:rPr>
        <w:t>∕</w:t>
      </w:r>
      <w:r w:rsidRPr="003A36B0">
        <w:rPr>
          <w:rFonts w:hint="eastAsia"/>
          <w:szCs w:val="28"/>
        </w:rPr>
        <w:t xml:space="preserve">T 47062-2017  </w:t>
      </w:r>
      <w:r w:rsidRPr="003A36B0">
        <w:rPr>
          <w:rFonts w:hint="eastAsia"/>
          <w:szCs w:val="28"/>
        </w:rPr>
        <w:t>生物质成型燃料锅炉</w:t>
      </w:r>
    </w:p>
    <w:p w14:paraId="65C36083" w14:textId="115185C1" w:rsidR="003A36B0" w:rsidRPr="003A36B0" w:rsidRDefault="003A36B0" w:rsidP="003A36B0">
      <w:pPr>
        <w:spacing w:line="560" w:lineRule="exact"/>
        <w:ind w:firstLine="640"/>
        <w:rPr>
          <w:szCs w:val="28"/>
        </w:rPr>
      </w:pPr>
      <w:r w:rsidRPr="003A36B0">
        <w:rPr>
          <w:rFonts w:hint="eastAsia"/>
          <w:szCs w:val="28"/>
        </w:rPr>
        <w:t>DB11/T 2164</w:t>
      </w:r>
      <w:r w:rsidRPr="003A36B0">
        <w:rPr>
          <w:rFonts w:hint="eastAsia"/>
          <w:szCs w:val="28"/>
        </w:rPr>
        <w:t>—</w:t>
      </w:r>
      <w:r w:rsidRPr="003A36B0">
        <w:rPr>
          <w:rFonts w:hint="eastAsia"/>
          <w:szCs w:val="28"/>
        </w:rPr>
        <w:t xml:space="preserve">2023  </w:t>
      </w:r>
      <w:r w:rsidRPr="003A36B0">
        <w:rPr>
          <w:rFonts w:hint="eastAsia"/>
          <w:szCs w:val="28"/>
        </w:rPr>
        <w:t>清洁生产评价指标体系</w:t>
      </w:r>
      <w:r w:rsidRPr="003A36B0">
        <w:rPr>
          <w:rFonts w:hint="eastAsia"/>
          <w:szCs w:val="28"/>
        </w:rPr>
        <w:t xml:space="preserve">  </w:t>
      </w:r>
      <w:r w:rsidRPr="003A36B0">
        <w:rPr>
          <w:rFonts w:hint="eastAsia"/>
          <w:szCs w:val="28"/>
        </w:rPr>
        <w:t>生活垃圾焚烧业</w:t>
      </w:r>
    </w:p>
    <w:p w14:paraId="2B75DFEF" w14:textId="77FCC40D" w:rsidR="00445F8C" w:rsidRDefault="00084192" w:rsidP="003A36B0">
      <w:pPr>
        <w:spacing w:line="560" w:lineRule="exact"/>
        <w:ind w:firstLine="643"/>
        <w:rPr>
          <w:rFonts w:eastAsia="楷体"/>
          <w:b/>
          <w:szCs w:val="28"/>
        </w:rPr>
      </w:pPr>
      <w:r>
        <w:rPr>
          <w:rFonts w:eastAsia="楷体"/>
          <w:b/>
          <w:szCs w:val="28"/>
        </w:rPr>
        <w:t>（三）研讨确定标准特色、创新点和主要内容</w:t>
      </w:r>
    </w:p>
    <w:p w14:paraId="641C9DB4" w14:textId="77777777" w:rsidR="00445F8C" w:rsidRDefault="00084192">
      <w:pPr>
        <w:spacing w:line="560" w:lineRule="exact"/>
        <w:ind w:firstLine="640"/>
        <w:rPr>
          <w:szCs w:val="28"/>
        </w:rPr>
      </w:pPr>
      <w:r>
        <w:rPr>
          <w:szCs w:val="28"/>
        </w:rPr>
        <w:t>1</w:t>
      </w:r>
      <w:r>
        <w:rPr>
          <w:szCs w:val="28"/>
        </w:rPr>
        <w:t>、特色与创新点</w:t>
      </w:r>
    </w:p>
    <w:p w14:paraId="38DADFFA" w14:textId="02347166" w:rsidR="00445F8C" w:rsidRDefault="00084192">
      <w:pPr>
        <w:spacing w:line="560" w:lineRule="exact"/>
        <w:ind w:firstLine="640"/>
        <w:rPr>
          <w:szCs w:val="28"/>
        </w:rPr>
      </w:pPr>
      <w:r>
        <w:rPr>
          <w:szCs w:val="28"/>
        </w:rPr>
        <w:t>（</w:t>
      </w:r>
      <w:r>
        <w:rPr>
          <w:szCs w:val="28"/>
        </w:rPr>
        <w:t>1</w:t>
      </w:r>
      <w:r>
        <w:rPr>
          <w:szCs w:val="28"/>
        </w:rPr>
        <w:t>）</w:t>
      </w:r>
      <w:r w:rsidR="003A36B0" w:rsidRPr="003A36B0">
        <w:rPr>
          <w:szCs w:val="28"/>
        </w:rPr>
        <w:t>构建了以燃烧过程、运行性能和环保效能为核心的全过程清洁燃烧综合评价体系。本标准从燃料侧预处理、炉内燃烧、烟气净化到固体废弃物处置与资源化，全面覆盖了生物质锅炉的运行阶段，提供了系统的清洁燃烧水平评价方法。</w:t>
      </w:r>
    </w:p>
    <w:p w14:paraId="3FCF4EA4" w14:textId="1B55D081" w:rsidR="00445F8C" w:rsidRDefault="00084192">
      <w:pPr>
        <w:spacing w:line="560" w:lineRule="exact"/>
        <w:ind w:firstLine="640"/>
        <w:rPr>
          <w:szCs w:val="28"/>
        </w:rPr>
      </w:pPr>
      <w:r>
        <w:rPr>
          <w:szCs w:val="28"/>
        </w:rPr>
        <w:t>（</w:t>
      </w:r>
      <w:r>
        <w:rPr>
          <w:szCs w:val="28"/>
        </w:rPr>
        <w:t>2</w:t>
      </w:r>
      <w:r>
        <w:rPr>
          <w:szCs w:val="28"/>
        </w:rPr>
        <w:t>）</w:t>
      </w:r>
      <w:r w:rsidR="003A36B0" w:rsidRPr="003A36B0">
        <w:rPr>
          <w:szCs w:val="28"/>
        </w:rPr>
        <w:t>确立了生物质锅炉清洁燃烧评价体系一级、二级指标、指标权重和基准值。通过明确各项评价指标，并为其设置权重和基准值，确保评价结果具有科学性、可操作性和可比性，为锅炉运行管理和技术改造提供了可靠依据。</w:t>
      </w:r>
    </w:p>
    <w:p w14:paraId="0F08B4BC" w14:textId="7642F845" w:rsidR="00445F8C" w:rsidRDefault="00084192">
      <w:pPr>
        <w:spacing w:line="560" w:lineRule="exact"/>
        <w:ind w:firstLine="640"/>
        <w:rPr>
          <w:szCs w:val="28"/>
        </w:rPr>
      </w:pPr>
      <w:r>
        <w:rPr>
          <w:szCs w:val="28"/>
        </w:rPr>
        <w:t>（</w:t>
      </w:r>
      <w:r>
        <w:rPr>
          <w:szCs w:val="28"/>
        </w:rPr>
        <w:t>3</w:t>
      </w:r>
      <w:r>
        <w:rPr>
          <w:szCs w:val="28"/>
        </w:rPr>
        <w:t>）</w:t>
      </w:r>
      <w:r w:rsidR="003A36B0" w:rsidRPr="003A36B0">
        <w:rPr>
          <w:szCs w:val="28"/>
        </w:rPr>
        <w:t>建立了生物质锅炉清洁燃烧评价方法和计算模型。本标准通过构建清洁燃烧等级判定与综合评价指标值的计算模型，提供了系统的评价方法，能够对生物质锅炉的清洁燃烧水平进行分级评价，推动燃烧效率和污染物排放控制水平的持续提升。</w:t>
      </w:r>
    </w:p>
    <w:p w14:paraId="5C0A4AE4" w14:textId="77777777" w:rsidR="00445F8C" w:rsidRDefault="00084192">
      <w:pPr>
        <w:spacing w:line="560" w:lineRule="exact"/>
        <w:ind w:firstLine="640"/>
        <w:rPr>
          <w:szCs w:val="28"/>
        </w:rPr>
      </w:pPr>
      <w:r>
        <w:rPr>
          <w:szCs w:val="28"/>
        </w:rPr>
        <w:t>2</w:t>
      </w:r>
      <w:r>
        <w:rPr>
          <w:szCs w:val="28"/>
        </w:rPr>
        <w:t>、主要内容</w:t>
      </w:r>
    </w:p>
    <w:p w14:paraId="11E7E852" w14:textId="6C4D976B" w:rsidR="00445F8C" w:rsidRDefault="00084192">
      <w:pPr>
        <w:spacing w:line="560" w:lineRule="exact"/>
        <w:ind w:firstLine="640"/>
        <w:rPr>
          <w:szCs w:val="28"/>
        </w:rPr>
      </w:pPr>
      <w:r>
        <w:rPr>
          <w:szCs w:val="28"/>
        </w:rPr>
        <w:t>标准编制工作组在对收集的资料进行整理研究之后，</w:t>
      </w:r>
      <w:r>
        <w:rPr>
          <w:szCs w:val="28"/>
        </w:rPr>
        <w:t>2024</w:t>
      </w:r>
      <w:r>
        <w:rPr>
          <w:szCs w:val="28"/>
        </w:rPr>
        <w:t>年</w:t>
      </w:r>
      <w:r>
        <w:rPr>
          <w:szCs w:val="28"/>
        </w:rPr>
        <w:t>9</w:t>
      </w:r>
      <w:r>
        <w:rPr>
          <w:szCs w:val="28"/>
        </w:rPr>
        <w:t>月，标准编制工作组召开了标准编制会议，对标准的整体框架结构进行了研究，并对标准的关键性内容进行了初步探讨。经过</w:t>
      </w:r>
      <w:r>
        <w:rPr>
          <w:szCs w:val="28"/>
        </w:rPr>
        <w:lastRenderedPageBreak/>
        <w:t>研究，标准的主体内容确定为</w:t>
      </w:r>
      <w:bookmarkStart w:id="0" w:name="OLE_LINK4"/>
      <w:bookmarkStart w:id="1" w:name="OLE_LINK3"/>
      <w:r>
        <w:rPr>
          <w:szCs w:val="28"/>
        </w:rPr>
        <w:t>术语和定义、</w:t>
      </w:r>
      <w:bookmarkEnd w:id="0"/>
      <w:bookmarkEnd w:id="1"/>
      <w:r>
        <w:rPr>
          <w:szCs w:val="28"/>
        </w:rPr>
        <w:t>评价指标体系表、评价方法、指标计算</w:t>
      </w:r>
      <w:r w:rsidR="00B15912">
        <w:rPr>
          <w:rFonts w:hint="eastAsia"/>
          <w:szCs w:val="28"/>
        </w:rPr>
        <w:t>及数据来源</w:t>
      </w:r>
      <w:r>
        <w:rPr>
          <w:szCs w:val="28"/>
        </w:rPr>
        <w:t>。</w:t>
      </w:r>
    </w:p>
    <w:p w14:paraId="08C83CF4" w14:textId="77777777" w:rsidR="00445F8C" w:rsidRDefault="00084192">
      <w:pPr>
        <w:spacing w:line="560" w:lineRule="exact"/>
        <w:ind w:firstLine="643"/>
        <w:rPr>
          <w:rFonts w:eastAsia="楷体"/>
          <w:b/>
          <w:szCs w:val="28"/>
        </w:rPr>
      </w:pPr>
      <w:r>
        <w:rPr>
          <w:rFonts w:eastAsia="楷体"/>
          <w:b/>
          <w:szCs w:val="28"/>
        </w:rPr>
        <w:t>（四）调研</w:t>
      </w:r>
      <w:r>
        <w:rPr>
          <w:rFonts w:eastAsia="楷体" w:hint="eastAsia"/>
          <w:b/>
          <w:szCs w:val="28"/>
        </w:rPr>
        <w:t>、</w:t>
      </w:r>
      <w:r>
        <w:rPr>
          <w:rFonts w:eastAsia="楷体"/>
          <w:b/>
          <w:szCs w:val="28"/>
        </w:rPr>
        <w:t>形成草案</w:t>
      </w:r>
    </w:p>
    <w:p w14:paraId="406A5FF6" w14:textId="77777777" w:rsidR="00B15912" w:rsidRDefault="00B15912">
      <w:pPr>
        <w:ind w:firstLine="640"/>
        <w:rPr>
          <w:szCs w:val="28"/>
        </w:rPr>
      </w:pPr>
      <w:r w:rsidRPr="00B15912">
        <w:rPr>
          <w:szCs w:val="28"/>
        </w:rPr>
        <w:t>编制组开展本标准编制工作的关键节点如图</w:t>
      </w:r>
      <w:r w:rsidRPr="00B15912">
        <w:rPr>
          <w:szCs w:val="28"/>
        </w:rPr>
        <w:t>10</w:t>
      </w:r>
      <w:r w:rsidRPr="00B15912">
        <w:rPr>
          <w:szCs w:val="28"/>
        </w:rPr>
        <w:t>所示。编制工作基于前期在</w:t>
      </w:r>
      <w:r w:rsidRPr="00B15912">
        <w:rPr>
          <w:szCs w:val="28"/>
        </w:rPr>
        <w:t>“</w:t>
      </w:r>
      <w:r w:rsidRPr="00B15912">
        <w:rPr>
          <w:szCs w:val="28"/>
        </w:rPr>
        <w:t>污染物排放标准制定及实施方法学研究</w:t>
      </w:r>
      <w:r w:rsidRPr="00B15912">
        <w:rPr>
          <w:szCs w:val="28"/>
        </w:rPr>
        <w:t>”</w:t>
      </w:r>
      <w:r w:rsidRPr="00B15912">
        <w:rPr>
          <w:szCs w:val="28"/>
        </w:rPr>
        <w:t>、</w:t>
      </w:r>
      <w:r w:rsidRPr="00B15912">
        <w:rPr>
          <w:szCs w:val="28"/>
        </w:rPr>
        <w:t>“</w:t>
      </w:r>
      <w:r w:rsidRPr="00B15912">
        <w:rPr>
          <w:szCs w:val="28"/>
        </w:rPr>
        <w:t>重点工业源大气污染物排放标准评估与制修订关键技术方法体系研究</w:t>
      </w:r>
      <w:r w:rsidRPr="00B15912">
        <w:rPr>
          <w:szCs w:val="28"/>
        </w:rPr>
        <w:t>”</w:t>
      </w:r>
      <w:r w:rsidRPr="00B15912">
        <w:rPr>
          <w:szCs w:val="28"/>
        </w:rPr>
        <w:t>等国家环境保护公益专项，以及科技部</w:t>
      </w:r>
      <w:r w:rsidRPr="00B15912">
        <w:rPr>
          <w:szCs w:val="28"/>
        </w:rPr>
        <w:t>“</w:t>
      </w:r>
      <w:r w:rsidRPr="00B15912">
        <w:rPr>
          <w:szCs w:val="28"/>
        </w:rPr>
        <w:t>十三五</w:t>
      </w:r>
      <w:r w:rsidRPr="00B15912">
        <w:rPr>
          <w:szCs w:val="28"/>
        </w:rPr>
        <w:t>”</w:t>
      </w:r>
      <w:r w:rsidRPr="00B15912">
        <w:rPr>
          <w:szCs w:val="28"/>
        </w:rPr>
        <w:t>大气</w:t>
      </w:r>
      <w:proofErr w:type="gramStart"/>
      <w:r w:rsidRPr="00B15912">
        <w:rPr>
          <w:szCs w:val="28"/>
        </w:rPr>
        <w:t>专项等</w:t>
      </w:r>
      <w:proofErr w:type="gramEnd"/>
      <w:r w:rsidRPr="00B15912">
        <w:rPr>
          <w:szCs w:val="28"/>
        </w:rPr>
        <w:t>省部级重大项目研究成果，广泛收集并分析了国内外相关资料，深入调研了多家工业企业的不同类型生物质锅炉。</w:t>
      </w:r>
    </w:p>
    <w:p w14:paraId="476A3967" w14:textId="4E4CF900" w:rsidR="00445F8C" w:rsidRPr="00B15912" w:rsidRDefault="00B15912" w:rsidP="00B15912">
      <w:pPr>
        <w:ind w:firstLine="640"/>
      </w:pPr>
      <w:r w:rsidRPr="00B15912">
        <w:rPr>
          <w:szCs w:val="28"/>
        </w:rPr>
        <w:t>编制组在研究生物质锅炉燃烧特性、排放控制技术装备和运行管理模式方面积累了扎实的研究基础。</w:t>
      </w:r>
      <w:r>
        <w:rPr>
          <w:szCs w:val="28"/>
        </w:rPr>
        <w:t>202</w:t>
      </w:r>
      <w:r>
        <w:rPr>
          <w:rFonts w:hint="eastAsia"/>
          <w:szCs w:val="28"/>
        </w:rPr>
        <w:t>2</w:t>
      </w:r>
      <w:r>
        <w:rPr>
          <w:szCs w:val="28"/>
        </w:rPr>
        <w:t>年</w:t>
      </w:r>
      <w:r>
        <w:rPr>
          <w:rFonts w:hint="eastAsia"/>
          <w:szCs w:val="28"/>
        </w:rPr>
        <w:t>10</w:t>
      </w:r>
      <w:r>
        <w:rPr>
          <w:szCs w:val="28"/>
        </w:rPr>
        <w:t>月，</w:t>
      </w:r>
      <w:r>
        <w:rPr>
          <w:rFonts w:hint="eastAsia"/>
          <w:szCs w:val="28"/>
        </w:rPr>
        <w:t>编制</w:t>
      </w:r>
      <w:proofErr w:type="gramStart"/>
      <w:r>
        <w:rPr>
          <w:rFonts w:hint="eastAsia"/>
          <w:szCs w:val="28"/>
        </w:rPr>
        <w:t>组</w:t>
      </w:r>
      <w:r>
        <w:rPr>
          <w:rFonts w:hint="eastAsia"/>
        </w:rPr>
        <w:t>启动</w:t>
      </w:r>
      <w:proofErr w:type="gramEnd"/>
      <w:r>
        <w:rPr>
          <w:rFonts w:hint="eastAsia"/>
        </w:rPr>
        <w:t>了国家重点研发计划“工业锅炉烟气多污染物协同治理技术评估及管控体系研究”。</w:t>
      </w:r>
      <w:r>
        <w:t>通过</w:t>
      </w:r>
      <w:r>
        <w:rPr>
          <w:szCs w:val="28"/>
        </w:rPr>
        <w:t>查阅大量的国内外文献资料，系统总结</w:t>
      </w:r>
      <w:r>
        <w:rPr>
          <w:rFonts w:hint="eastAsia"/>
          <w:szCs w:val="28"/>
        </w:rPr>
        <w:t>了</w:t>
      </w:r>
      <w:r>
        <w:rPr>
          <w:szCs w:val="28"/>
        </w:rPr>
        <w:t>对生物质锅炉清洁燃烧评价指标的</w:t>
      </w:r>
      <w:r>
        <w:rPr>
          <w:rFonts w:hint="eastAsia"/>
          <w:szCs w:val="28"/>
        </w:rPr>
        <w:t>前期</w:t>
      </w:r>
      <w:r>
        <w:rPr>
          <w:szCs w:val="28"/>
        </w:rPr>
        <w:t>研究成果</w:t>
      </w:r>
      <w:r>
        <w:rPr>
          <w:rFonts w:hint="eastAsia"/>
          <w:szCs w:val="28"/>
        </w:rPr>
        <w:t>，并整理了立项项目建议书。</w:t>
      </w:r>
      <w:r>
        <w:rPr>
          <w:rFonts w:hint="eastAsia"/>
          <w:szCs w:val="28"/>
        </w:rPr>
        <w:t>2024</w:t>
      </w:r>
      <w:r>
        <w:rPr>
          <w:rFonts w:hint="eastAsia"/>
          <w:szCs w:val="28"/>
        </w:rPr>
        <w:t>年</w:t>
      </w:r>
      <w:r>
        <w:rPr>
          <w:rFonts w:hint="eastAsia"/>
          <w:szCs w:val="28"/>
        </w:rPr>
        <w:t>8</w:t>
      </w:r>
      <w:r>
        <w:rPr>
          <w:rFonts w:hint="eastAsia"/>
          <w:szCs w:val="28"/>
        </w:rPr>
        <w:t>月，团体标准《生物质锅炉清洁燃烧评价指标体系》获得立项。</w:t>
      </w:r>
      <w:r>
        <w:rPr>
          <w:rFonts w:hint="eastAsia"/>
          <w:szCs w:val="28"/>
        </w:rPr>
        <w:t>2024</w:t>
      </w:r>
      <w:r>
        <w:rPr>
          <w:rFonts w:hint="eastAsia"/>
          <w:szCs w:val="28"/>
        </w:rPr>
        <w:t>年</w:t>
      </w:r>
      <w:r>
        <w:rPr>
          <w:rFonts w:hint="eastAsia"/>
          <w:szCs w:val="28"/>
        </w:rPr>
        <w:t>8</w:t>
      </w:r>
      <w:r>
        <w:rPr>
          <w:rFonts w:hint="eastAsia"/>
          <w:szCs w:val="28"/>
        </w:rPr>
        <w:t>月</w:t>
      </w:r>
      <w:r>
        <w:rPr>
          <w:rFonts w:hint="eastAsia"/>
          <w:szCs w:val="28"/>
        </w:rPr>
        <w:t>9</w:t>
      </w:r>
      <w:r>
        <w:rPr>
          <w:rFonts w:hint="eastAsia"/>
          <w:szCs w:val="28"/>
        </w:rPr>
        <w:t>日，标准编制组在中国环科院召开标准启动会，讨论</w:t>
      </w:r>
      <w:r>
        <w:rPr>
          <w:szCs w:val="28"/>
        </w:rPr>
        <w:t>形成了标准的基本构架，对主要内容进行了讨论并对项目的工作进行了部署和安排。</w:t>
      </w:r>
    </w:p>
    <w:p w14:paraId="69A766AB" w14:textId="7FFF297E" w:rsidR="00334EC3" w:rsidRDefault="00334EC3">
      <w:pPr>
        <w:ind w:firstLine="640"/>
        <w:rPr>
          <w:szCs w:val="28"/>
        </w:rPr>
      </w:pPr>
      <w:r w:rsidRPr="00334EC3">
        <w:rPr>
          <w:szCs w:val="28"/>
        </w:rPr>
        <w:t>自</w:t>
      </w:r>
      <w:r w:rsidRPr="00334EC3">
        <w:rPr>
          <w:szCs w:val="28"/>
        </w:rPr>
        <w:t>2024</w:t>
      </w:r>
      <w:r w:rsidRPr="00334EC3">
        <w:rPr>
          <w:szCs w:val="28"/>
        </w:rPr>
        <w:t>年</w:t>
      </w:r>
      <w:r w:rsidRPr="00334EC3">
        <w:rPr>
          <w:szCs w:val="28"/>
        </w:rPr>
        <w:t>9</w:t>
      </w:r>
      <w:r w:rsidRPr="00334EC3">
        <w:rPr>
          <w:szCs w:val="28"/>
        </w:rPr>
        <w:t>月起，编制组在承担</w:t>
      </w:r>
      <w:r w:rsidRPr="00334EC3">
        <w:rPr>
          <w:szCs w:val="28"/>
        </w:rPr>
        <w:t>“</w:t>
      </w:r>
      <w:r w:rsidRPr="00334EC3">
        <w:rPr>
          <w:szCs w:val="28"/>
        </w:rPr>
        <w:t>工业锅炉多污染物协同治理技术评估及管控体系研究</w:t>
      </w:r>
      <w:r w:rsidRPr="00334EC3">
        <w:rPr>
          <w:szCs w:val="28"/>
        </w:rPr>
        <w:t>”</w:t>
      </w:r>
      <w:r w:rsidRPr="00334EC3">
        <w:rPr>
          <w:szCs w:val="28"/>
        </w:rPr>
        <w:t>项目的同时，对生物质锅炉在不同净化过程中的非常规污染物形态转化规律以及与常规污染物的协同减</w:t>
      </w:r>
      <w:proofErr w:type="gramStart"/>
      <w:r w:rsidRPr="00334EC3">
        <w:rPr>
          <w:szCs w:val="28"/>
        </w:rPr>
        <w:t>排机制</w:t>
      </w:r>
      <w:proofErr w:type="gramEnd"/>
      <w:r w:rsidRPr="00334EC3">
        <w:rPr>
          <w:szCs w:val="28"/>
        </w:rPr>
        <w:t>进行了系统研究。</w:t>
      </w:r>
      <w:r w:rsidRPr="00334EC3">
        <w:rPr>
          <w:szCs w:val="28"/>
        </w:rPr>
        <w:t>2024</w:t>
      </w:r>
      <w:r w:rsidRPr="00334EC3">
        <w:rPr>
          <w:szCs w:val="28"/>
        </w:rPr>
        <w:t>年</w:t>
      </w:r>
      <w:r w:rsidRPr="00334EC3">
        <w:rPr>
          <w:szCs w:val="28"/>
        </w:rPr>
        <w:t>11</w:t>
      </w:r>
      <w:r w:rsidRPr="00334EC3">
        <w:rPr>
          <w:szCs w:val="28"/>
        </w:rPr>
        <w:t>月，编制组完成了《生</w:t>
      </w:r>
      <w:r w:rsidRPr="00334EC3">
        <w:rPr>
          <w:szCs w:val="28"/>
        </w:rPr>
        <w:lastRenderedPageBreak/>
        <w:t>物质锅炉烟气多污染排放特征及低能耗高效协同治理技术经济评价报告》。同时，以南宁糖业、广西乐林林业、南宁香山制糖等</w:t>
      </w:r>
      <w:r w:rsidRPr="00334EC3">
        <w:rPr>
          <w:szCs w:val="28"/>
        </w:rPr>
        <w:t>21</w:t>
      </w:r>
      <w:r w:rsidRPr="00334EC3">
        <w:rPr>
          <w:szCs w:val="28"/>
        </w:rPr>
        <w:t>家企业为典型样本，覆盖制糖、板材、造纸、食品等生物质锅炉广泛应用行业，全面掌握了生物质锅炉的工程特征、运行状况与共性问题。这些调研结果为本标准中指标基准值设定、等级划分以及不同炉型差异</w:t>
      </w:r>
      <w:proofErr w:type="gramStart"/>
      <w:r w:rsidRPr="00334EC3">
        <w:rPr>
          <w:szCs w:val="28"/>
        </w:rPr>
        <w:t>化评价</w:t>
      </w:r>
      <w:proofErr w:type="gramEnd"/>
      <w:r w:rsidRPr="00334EC3">
        <w:rPr>
          <w:szCs w:val="28"/>
        </w:rPr>
        <w:t>提供了数据支撑和工程参考。</w:t>
      </w:r>
    </w:p>
    <w:p w14:paraId="0C61F6FC" w14:textId="700665F9" w:rsidR="00334EC3" w:rsidRDefault="003A36B0">
      <w:pPr>
        <w:ind w:firstLine="640"/>
        <w:rPr>
          <w:szCs w:val="28"/>
        </w:rPr>
      </w:pPr>
      <w:r w:rsidRPr="003A36B0">
        <w:rPr>
          <w:rFonts w:hint="eastAsia"/>
          <w:szCs w:val="28"/>
        </w:rPr>
        <w:t>在上述研究基础上，编制组进一步明确了本标准的基本定位：本标准的核心目标是为生物质锅炉提供一套全面的清洁燃烧评价体系，强调通过提高燃烧效率、优化能源利用、控制污染物排放等方式，推动生物质锅炉在运行阶段实现高效、清洁、环保的运行。</w:t>
      </w:r>
    </w:p>
    <w:p w14:paraId="01CC417B" w14:textId="6BE1CECB" w:rsidR="00334EC3" w:rsidRDefault="00334EC3">
      <w:pPr>
        <w:ind w:firstLine="640"/>
        <w:rPr>
          <w:rFonts w:hint="eastAsia"/>
          <w:szCs w:val="28"/>
        </w:rPr>
      </w:pPr>
      <w:r w:rsidRPr="00334EC3">
        <w:rPr>
          <w:szCs w:val="28"/>
        </w:rPr>
        <w:t>2025</w:t>
      </w:r>
      <w:r w:rsidRPr="00334EC3">
        <w:rPr>
          <w:szCs w:val="28"/>
        </w:rPr>
        <w:t>年</w:t>
      </w:r>
      <w:r w:rsidRPr="00334EC3">
        <w:rPr>
          <w:szCs w:val="28"/>
        </w:rPr>
        <w:t>8</w:t>
      </w:r>
      <w:r w:rsidRPr="00334EC3">
        <w:rPr>
          <w:szCs w:val="28"/>
        </w:rPr>
        <w:t>月～</w:t>
      </w:r>
      <w:r w:rsidRPr="00334EC3">
        <w:rPr>
          <w:szCs w:val="28"/>
        </w:rPr>
        <w:t>202</w:t>
      </w:r>
      <w:r w:rsidR="00084192">
        <w:rPr>
          <w:rFonts w:hint="eastAsia"/>
          <w:szCs w:val="28"/>
        </w:rPr>
        <w:t>5</w:t>
      </w:r>
      <w:r w:rsidRPr="00334EC3">
        <w:rPr>
          <w:szCs w:val="28"/>
        </w:rPr>
        <w:t>年</w:t>
      </w:r>
      <w:r w:rsidR="00084192">
        <w:rPr>
          <w:rFonts w:hint="eastAsia"/>
          <w:szCs w:val="28"/>
        </w:rPr>
        <w:t>12</w:t>
      </w:r>
      <w:r w:rsidRPr="00334EC3">
        <w:rPr>
          <w:szCs w:val="28"/>
        </w:rPr>
        <w:t>月，编制组基于前期调研采样数据，进行整体数据整理和分析。在此基础上，通过理清逻辑脉络，整合已有参考资料，并结合生物质锅炉清洁燃烧评价指标实际要求，按照简化、统一等原则，完成了团体标准《生物质锅炉清洁燃烧评价指标体系》（草案）的编制工作。</w:t>
      </w:r>
    </w:p>
    <w:p w14:paraId="10BE46EB" w14:textId="4F911183" w:rsidR="00084192" w:rsidRDefault="00084192">
      <w:pPr>
        <w:ind w:firstLine="640"/>
        <w:rPr>
          <w:szCs w:val="28"/>
        </w:rPr>
      </w:pPr>
      <w:r w:rsidRPr="00334EC3">
        <w:rPr>
          <w:szCs w:val="28"/>
        </w:rPr>
        <w:t>202</w:t>
      </w:r>
      <w:r>
        <w:rPr>
          <w:rFonts w:hint="eastAsia"/>
          <w:szCs w:val="28"/>
        </w:rPr>
        <w:t>6</w:t>
      </w:r>
      <w:r w:rsidRPr="00334EC3">
        <w:rPr>
          <w:szCs w:val="28"/>
        </w:rPr>
        <w:t>年</w:t>
      </w:r>
      <w:r>
        <w:rPr>
          <w:rFonts w:hint="eastAsia"/>
          <w:szCs w:val="28"/>
        </w:rPr>
        <w:t>1</w:t>
      </w:r>
      <w:r w:rsidRPr="00334EC3">
        <w:rPr>
          <w:szCs w:val="28"/>
        </w:rPr>
        <w:t>月～</w:t>
      </w:r>
      <w:r w:rsidRPr="00334EC3">
        <w:rPr>
          <w:szCs w:val="28"/>
        </w:rPr>
        <w:t>2026</w:t>
      </w:r>
      <w:r w:rsidRPr="00334EC3">
        <w:rPr>
          <w:szCs w:val="28"/>
        </w:rPr>
        <w:t>年</w:t>
      </w:r>
      <w:r>
        <w:rPr>
          <w:rFonts w:hint="eastAsia"/>
          <w:szCs w:val="28"/>
        </w:rPr>
        <w:t>2</w:t>
      </w:r>
      <w:r w:rsidRPr="00334EC3">
        <w:rPr>
          <w:szCs w:val="28"/>
        </w:rPr>
        <w:t>月</w:t>
      </w:r>
      <w:r>
        <w:rPr>
          <w:rFonts w:hint="eastAsia"/>
          <w:szCs w:val="28"/>
        </w:rPr>
        <w:t>，</w:t>
      </w:r>
      <w:r>
        <w:rPr>
          <w:rFonts w:ascii="仿宋_GB2312" w:hAnsi="宋体" w:hint="eastAsia"/>
        </w:rPr>
        <w:t>标准起草工作组再次召开标准讨论会，并实地前往</w:t>
      </w:r>
      <w:r>
        <w:rPr>
          <w:rFonts w:ascii="仿宋_GB2312" w:hAnsi="宋体" w:cs="宋体" w:hint="eastAsia"/>
          <w:szCs w:val="32"/>
        </w:rPr>
        <w:t>广西柳锅锅炉制造有限公司、南宁金鼎锅炉制造有限公司</w:t>
      </w:r>
      <w:r>
        <w:rPr>
          <w:rFonts w:ascii="仿宋_GB2312" w:hAnsi="宋体" w:cs="宋体" w:hint="eastAsia"/>
          <w:bCs/>
        </w:rPr>
        <w:t>等</w:t>
      </w:r>
      <w:r>
        <w:rPr>
          <w:rFonts w:ascii="仿宋_GB2312" w:hAnsi="宋体" w:hint="eastAsia"/>
        </w:rPr>
        <w:t>相关单位进行调研，并实际征求意见，通过收集反馈了大量意见，标准编制内部多次召开会议，对标准草案进行了反复修改和研究讨论。进一步讨论完善标准草案，形成团体标准《</w:t>
      </w:r>
      <w:r w:rsidRPr="00334EC3">
        <w:rPr>
          <w:szCs w:val="28"/>
        </w:rPr>
        <w:t>生物质锅炉清洁燃烧评价指标体系</w:t>
      </w:r>
      <w:r>
        <w:rPr>
          <w:rFonts w:ascii="仿宋_GB2312" w:hAnsi="宋体" w:hint="eastAsia"/>
        </w:rPr>
        <w:t>》（征求意见稿）和（征</w:t>
      </w:r>
      <w:r>
        <w:rPr>
          <w:rFonts w:ascii="仿宋_GB2312" w:hAnsi="宋体" w:hint="eastAsia"/>
        </w:rPr>
        <w:lastRenderedPageBreak/>
        <w:t>求意见稿）编制说明。</w:t>
      </w:r>
    </w:p>
    <w:p w14:paraId="05830259" w14:textId="77777777" w:rsidR="00445F8C" w:rsidRDefault="00084192">
      <w:pPr>
        <w:ind w:firstLineChars="0" w:firstLine="0"/>
        <w:jc w:val="center"/>
        <w:rPr>
          <w:szCs w:val="28"/>
        </w:rPr>
      </w:pPr>
      <w:r>
        <w:rPr>
          <w:rFonts w:eastAsia="宋体"/>
          <w:noProof/>
          <w:szCs w:val="22"/>
        </w:rPr>
        <w:drawing>
          <wp:inline distT="0" distB="0" distL="0" distR="0" wp14:anchorId="303C9F16" wp14:editId="20AFEED4">
            <wp:extent cx="5022850" cy="2873375"/>
            <wp:effectExtent l="0" t="0" r="0" b="0"/>
            <wp:docPr id="5832447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44758" name="图片 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35991" cy="2881039"/>
                    </a:xfrm>
                    <a:prstGeom prst="rect">
                      <a:avLst/>
                    </a:prstGeom>
                  </pic:spPr>
                </pic:pic>
              </a:graphicData>
            </a:graphic>
          </wp:inline>
        </w:drawing>
      </w:r>
    </w:p>
    <w:p w14:paraId="0DFDBABF" w14:textId="1D0049BF" w:rsidR="00445F8C" w:rsidRDefault="00084192">
      <w:pPr>
        <w:ind w:firstLineChars="0" w:firstLine="0"/>
        <w:jc w:val="center"/>
        <w:rPr>
          <w:szCs w:val="28"/>
        </w:rPr>
      </w:pPr>
      <w:r>
        <w:rPr>
          <w:szCs w:val="28"/>
        </w:rPr>
        <w:t>图</w:t>
      </w:r>
      <w:r w:rsidR="00B15912">
        <w:rPr>
          <w:rFonts w:hint="eastAsia"/>
          <w:szCs w:val="28"/>
        </w:rPr>
        <w:t>10</w:t>
      </w:r>
      <w:r>
        <w:rPr>
          <w:szCs w:val="28"/>
        </w:rPr>
        <w:t xml:space="preserve"> </w:t>
      </w:r>
      <w:r>
        <w:rPr>
          <w:szCs w:val="28"/>
        </w:rPr>
        <w:t>标准研究过程时间节点</w:t>
      </w:r>
    </w:p>
    <w:p w14:paraId="59F1DD85" w14:textId="77777777" w:rsidR="00445F8C" w:rsidRDefault="00084192">
      <w:pPr>
        <w:autoSpaceDE w:val="0"/>
        <w:autoSpaceDN w:val="0"/>
        <w:adjustRightInd w:val="0"/>
        <w:ind w:firstLine="640"/>
        <w:jc w:val="left"/>
        <w:rPr>
          <w:rFonts w:eastAsia="黑体"/>
          <w:bCs/>
          <w:szCs w:val="32"/>
        </w:rPr>
      </w:pPr>
      <w:bookmarkStart w:id="2" w:name="_Toc526940083"/>
      <w:r>
        <w:rPr>
          <w:rFonts w:eastAsia="黑体"/>
          <w:bCs/>
          <w:szCs w:val="32"/>
        </w:rPr>
        <w:t>四、</w:t>
      </w:r>
      <w:bookmarkEnd w:id="2"/>
      <w:r>
        <w:rPr>
          <w:rFonts w:eastAsia="黑体"/>
          <w:bCs/>
          <w:szCs w:val="32"/>
        </w:rPr>
        <w:t>制定标准的原则和依据，与现行法律、法规的关系，与有关国家标准、行业标准的协调情况</w:t>
      </w:r>
    </w:p>
    <w:p w14:paraId="2ECC10A2" w14:textId="77777777" w:rsidR="00445F8C" w:rsidRDefault="00084192">
      <w:pPr>
        <w:pStyle w:val="aff"/>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14:paraId="65A6DE1B" w14:textId="77777777" w:rsidR="00445F8C" w:rsidRDefault="00084192">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b/>
          <w:bCs/>
          <w:kern w:val="0"/>
          <w:szCs w:val="32"/>
        </w:rPr>
        <w:t>．实用性原则</w:t>
      </w:r>
    </w:p>
    <w:p w14:paraId="4DA3A80C" w14:textId="77777777" w:rsidR="00445F8C" w:rsidRDefault="00084192">
      <w:pPr>
        <w:ind w:firstLine="640"/>
        <w:rPr>
          <w:szCs w:val="28"/>
        </w:rPr>
      </w:pPr>
      <w:r>
        <w:rPr>
          <w:szCs w:val="28"/>
        </w:rPr>
        <w:t>以相关法律法规体系、工程理论与生物质特性研究为基础；明确生物质锅炉作为高风险特种设备的工程属性与生物质燃料成分波动性约束；强调评价体系的环境意义、工程意义和管理意义；提出我国生物质锅炉评价体系需把握的基本尺度，如政策要求、生物质不稳定性特征、企业责任、在线监测数据管理、技术装备选择、工程指标计算方法等，为构建全面、科学、可操作的清洁燃烧评价指标体系提供理论支撑与工程依据。</w:t>
      </w:r>
    </w:p>
    <w:p w14:paraId="1A729FF7" w14:textId="77777777" w:rsidR="00445F8C" w:rsidRDefault="00084192">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2</w:t>
      </w:r>
      <w:r>
        <w:rPr>
          <w:rFonts w:eastAsia="仿宋"/>
          <w:b/>
          <w:bCs/>
          <w:kern w:val="0"/>
          <w:szCs w:val="32"/>
        </w:rPr>
        <w:t>．协调性原则</w:t>
      </w:r>
    </w:p>
    <w:p w14:paraId="3A6F84C6" w14:textId="77777777" w:rsidR="00445F8C" w:rsidRDefault="00084192">
      <w:pPr>
        <w:ind w:firstLine="640"/>
        <w:rPr>
          <w:szCs w:val="28"/>
        </w:rPr>
      </w:pPr>
      <w:r>
        <w:rPr>
          <w:szCs w:val="28"/>
        </w:rPr>
        <w:t>本文件编写过程中注意了与生物质锅炉清洁燃烧评价指标</w:t>
      </w:r>
      <w:r>
        <w:rPr>
          <w:szCs w:val="28"/>
        </w:rPr>
        <w:lastRenderedPageBreak/>
        <w:t>相关法律法规的协调问题，在内容上与现行法律法规、标准协调一致。</w:t>
      </w:r>
    </w:p>
    <w:p w14:paraId="634562B0" w14:textId="77777777" w:rsidR="00445F8C" w:rsidRDefault="00084192">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3</w:t>
      </w:r>
      <w:r>
        <w:rPr>
          <w:rFonts w:eastAsia="仿宋"/>
          <w:b/>
          <w:bCs/>
          <w:kern w:val="0"/>
          <w:szCs w:val="32"/>
        </w:rPr>
        <w:t>．规范性原则</w:t>
      </w:r>
    </w:p>
    <w:p w14:paraId="77E7F411" w14:textId="77777777" w:rsidR="00445F8C" w:rsidRDefault="00084192">
      <w:pPr>
        <w:ind w:firstLine="640"/>
        <w:rPr>
          <w:szCs w:val="28"/>
        </w:rPr>
      </w:pPr>
      <w:r>
        <w:rPr>
          <w:szCs w:val="28"/>
        </w:rPr>
        <w:t>本文件严格参照</w:t>
      </w:r>
      <w:r>
        <w:rPr>
          <w:szCs w:val="28"/>
        </w:rPr>
        <w:t>GB/T 1.1—2020</w:t>
      </w:r>
      <w:r>
        <w:rPr>
          <w:szCs w:val="28"/>
        </w:rPr>
        <w:t>《标准化工作导则</w:t>
      </w:r>
      <w:r>
        <w:rPr>
          <w:szCs w:val="28"/>
        </w:rPr>
        <w:t xml:space="preserve">  </w:t>
      </w:r>
      <w:r>
        <w:rPr>
          <w:szCs w:val="28"/>
        </w:rPr>
        <w:t>第</w:t>
      </w:r>
      <w:r>
        <w:rPr>
          <w:szCs w:val="28"/>
        </w:rPr>
        <w:t>1</w:t>
      </w:r>
      <w:r>
        <w:rPr>
          <w:szCs w:val="28"/>
        </w:rPr>
        <w:t>部分：标准化文件的结构和起草规则》编写本标准的内容，保证标准的编写质量。</w:t>
      </w:r>
    </w:p>
    <w:p w14:paraId="188B333A" w14:textId="77777777" w:rsidR="00445F8C" w:rsidRDefault="00084192">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4</w:t>
      </w:r>
      <w:r>
        <w:rPr>
          <w:rFonts w:eastAsia="仿宋"/>
          <w:b/>
          <w:bCs/>
          <w:kern w:val="0"/>
          <w:szCs w:val="32"/>
        </w:rPr>
        <w:t>．前瞻性原则</w:t>
      </w:r>
    </w:p>
    <w:p w14:paraId="2F390612" w14:textId="77777777" w:rsidR="00445F8C" w:rsidRDefault="00084192">
      <w:pPr>
        <w:ind w:firstLine="640"/>
        <w:rPr>
          <w:szCs w:val="28"/>
        </w:rPr>
      </w:pPr>
      <w:r>
        <w:rPr>
          <w:szCs w:val="28"/>
        </w:rPr>
        <w:t>本文件在兼顾当前区内生物质锅炉清洁燃烧评价指标现实情况的同时，还考虑到了生物质锅炉清洁燃烧评价指标快速发展的趋势和需要，在标准中体现了个别特色性、前瞻性和先进性条款，作为对生物质锅炉清洁燃烧评价指标的指导。</w:t>
      </w:r>
    </w:p>
    <w:p w14:paraId="39AABDC0" w14:textId="77777777" w:rsidR="00445F8C" w:rsidRDefault="00084192">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663E4717" w14:textId="77777777" w:rsidR="00445F8C" w:rsidRDefault="00084192">
      <w:pPr>
        <w:ind w:firstLine="640"/>
        <w:rPr>
          <w:szCs w:val="28"/>
        </w:rPr>
      </w:pPr>
      <w:r>
        <w:rPr>
          <w:szCs w:val="28"/>
        </w:rPr>
        <w:t>本标准严格按照</w:t>
      </w:r>
      <w:r>
        <w:rPr>
          <w:szCs w:val="28"/>
        </w:rPr>
        <w:t>GB/T 1.1—2020</w:t>
      </w:r>
      <w:r>
        <w:rPr>
          <w:szCs w:val="28"/>
        </w:rPr>
        <w:t>《标准化工作导则</w:t>
      </w:r>
      <w:r>
        <w:rPr>
          <w:szCs w:val="28"/>
        </w:rPr>
        <w:t xml:space="preserve">  </w:t>
      </w:r>
      <w:r>
        <w:rPr>
          <w:szCs w:val="28"/>
        </w:rPr>
        <w:t>第</w:t>
      </w:r>
      <w:r>
        <w:rPr>
          <w:szCs w:val="28"/>
        </w:rPr>
        <w:t>1</w:t>
      </w:r>
      <w:r>
        <w:rPr>
          <w:szCs w:val="28"/>
        </w:rPr>
        <w:t>部分：标准化文件的结构和起草规则》的规则起草，标准主要内容参考相关标准文件并结合实践验证情况总结进行起草。</w:t>
      </w:r>
    </w:p>
    <w:p w14:paraId="7E3A1D1C" w14:textId="77777777" w:rsidR="00445F8C" w:rsidRDefault="00084192">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14:paraId="167BC09F" w14:textId="77777777" w:rsidR="00445F8C" w:rsidRDefault="00084192">
      <w:pPr>
        <w:ind w:firstLine="640"/>
        <w:rPr>
          <w:szCs w:val="28"/>
        </w:rPr>
      </w:pPr>
      <w:r>
        <w:rPr>
          <w:szCs w:val="28"/>
        </w:rPr>
        <w:t>本编制工作组承诺本标准内容与各项指标不违反相关法律法规要求，且不低于国家强制性标准、推荐性国家标准和行业标准要求。</w:t>
      </w:r>
    </w:p>
    <w:p w14:paraId="24995A92" w14:textId="77777777" w:rsidR="00445F8C" w:rsidRDefault="00084192">
      <w:pPr>
        <w:ind w:firstLine="640"/>
        <w:rPr>
          <w:szCs w:val="28"/>
        </w:rPr>
      </w:pPr>
      <w:r>
        <w:rPr>
          <w:szCs w:val="28"/>
        </w:rPr>
        <w:t>经查阅，目前未发现制定有《生物质锅炉清洁燃烧评价指标体系》的标准，与</w:t>
      </w:r>
      <w:r>
        <w:rPr>
          <w:szCs w:val="28"/>
        </w:rPr>
        <w:t>“</w:t>
      </w:r>
      <w:r>
        <w:rPr>
          <w:szCs w:val="28"/>
        </w:rPr>
        <w:t>生物质锅炉</w:t>
      </w:r>
      <w:r>
        <w:rPr>
          <w:szCs w:val="28"/>
        </w:rPr>
        <w:t>”</w:t>
      </w:r>
      <w:r>
        <w:rPr>
          <w:szCs w:val="28"/>
        </w:rPr>
        <w:t>、</w:t>
      </w:r>
      <w:r>
        <w:rPr>
          <w:szCs w:val="28"/>
        </w:rPr>
        <w:t>“</w:t>
      </w:r>
      <w:r>
        <w:rPr>
          <w:szCs w:val="28"/>
        </w:rPr>
        <w:t>清洁燃烧</w:t>
      </w:r>
      <w:r>
        <w:rPr>
          <w:szCs w:val="28"/>
        </w:rPr>
        <w:t>”</w:t>
      </w:r>
      <w:r>
        <w:rPr>
          <w:szCs w:val="28"/>
        </w:rPr>
        <w:t>、</w:t>
      </w:r>
      <w:r>
        <w:rPr>
          <w:szCs w:val="28"/>
        </w:rPr>
        <w:t>“</w:t>
      </w:r>
      <w:r>
        <w:rPr>
          <w:szCs w:val="28"/>
        </w:rPr>
        <w:t>清洁生产</w:t>
      </w:r>
      <w:r>
        <w:rPr>
          <w:szCs w:val="28"/>
        </w:rPr>
        <w:t>”</w:t>
      </w:r>
      <w:r>
        <w:rPr>
          <w:szCs w:val="28"/>
        </w:rPr>
        <w:t>、</w:t>
      </w:r>
      <w:r>
        <w:rPr>
          <w:szCs w:val="28"/>
        </w:rPr>
        <w:t>“</w:t>
      </w:r>
      <w:r>
        <w:rPr>
          <w:szCs w:val="28"/>
        </w:rPr>
        <w:t>评</w:t>
      </w:r>
      <w:r>
        <w:rPr>
          <w:szCs w:val="28"/>
        </w:rPr>
        <w:lastRenderedPageBreak/>
        <w:t>价指标体系</w:t>
      </w:r>
      <w:r>
        <w:rPr>
          <w:szCs w:val="28"/>
        </w:rPr>
        <w:t>”</w:t>
      </w:r>
      <w:r>
        <w:rPr>
          <w:szCs w:val="28"/>
        </w:rPr>
        <w:t>相关的标准有：</w:t>
      </w:r>
    </w:p>
    <w:p w14:paraId="0FB2127E" w14:textId="1C691359" w:rsidR="00487866" w:rsidRDefault="00487866">
      <w:pPr>
        <w:ind w:firstLine="640"/>
        <w:rPr>
          <w:szCs w:val="28"/>
        </w:rPr>
      </w:pPr>
      <w:r w:rsidRPr="00487866">
        <w:rPr>
          <w:szCs w:val="28"/>
        </w:rPr>
        <w:t>GB/T 44906—2024</w:t>
      </w:r>
      <w:r w:rsidRPr="00487866">
        <w:rPr>
          <w:szCs w:val="28"/>
        </w:rPr>
        <w:t>《生物质锅炉技术规范》规定了生物质锅炉在设计制造、结构与系统配置、材料与安全、性能与试验、检验与标志等方面的技术要求，适用于生物质锅炉产品设计、制造、安装和工程配套环节，是生物质锅炉产品和工程应用的基础性技术规范。本标准《生物质锅炉清洁燃烧评价指标体系》以运行阶段的生物质锅炉为评价对象，围绕燃料侧预处理与供给、炉内燃烧与换热、烟气净化与灰渣处置、运行控制与监测等清洁燃烧工作过程，构建评价指标体系、分级基准值及评价方法，用于反映和比较生物质锅炉在实际运行条件下的清洁燃烧水平。两者在适用阶段和技术侧重点上存在差异。本标准以生物质锅炉运行阶段为评价对象，用于企业运行绩效评价与管理改进；相关国家标准侧重于生物质锅炉产品及工程层面的技术规范要求。二者在对象边界上分别对应运行清洁燃烧水平评价与产品</w:t>
      </w:r>
      <w:r w:rsidRPr="00487866">
        <w:rPr>
          <w:szCs w:val="28"/>
        </w:rPr>
        <w:t>/</w:t>
      </w:r>
      <w:r w:rsidRPr="00487866">
        <w:rPr>
          <w:szCs w:val="28"/>
        </w:rPr>
        <w:t>工程技术规范要求，在指标体系构成、数据来源和评价方法等方面形成分工协同关系，不存在交叉重复。</w:t>
      </w:r>
    </w:p>
    <w:p w14:paraId="157CCFC0" w14:textId="77777777" w:rsidR="00A870BE" w:rsidRDefault="00A870BE">
      <w:pPr>
        <w:ind w:firstLine="640"/>
        <w:rPr>
          <w:szCs w:val="28"/>
        </w:rPr>
      </w:pPr>
      <w:r w:rsidRPr="00A870BE">
        <w:rPr>
          <w:szCs w:val="28"/>
        </w:rPr>
        <w:t>GB/T 44907—2024</w:t>
      </w:r>
      <w:r w:rsidRPr="00A870BE">
        <w:rPr>
          <w:szCs w:val="28"/>
        </w:rPr>
        <w:t>《生物质锅炉质量性能评价技术准则》规定了生物质锅炉质量性能评价的基本原则、评价内容和评价程序，重点从锅炉产品质量和性能角度对其综合技术水平进行评价，适用于生物质锅炉质量性能的判定与管理。本标准《生物质锅炉清洁燃烧评价指标体系》以清洁燃烧和运行绩效为导向，在评价内容上相较</w:t>
      </w:r>
      <w:r w:rsidRPr="00A870BE">
        <w:rPr>
          <w:szCs w:val="28"/>
        </w:rPr>
        <w:t xml:space="preserve"> GB/T 44907 </w:t>
      </w:r>
      <w:r w:rsidRPr="00A870BE">
        <w:rPr>
          <w:szCs w:val="28"/>
        </w:rPr>
        <w:t>增加了燃料质量适应性、烟气净化装备配</w:t>
      </w:r>
      <w:r w:rsidRPr="00A870BE">
        <w:rPr>
          <w:szCs w:val="28"/>
        </w:rPr>
        <w:lastRenderedPageBreak/>
        <w:t>置、固体废弃物处置与资源化以及清洁燃烧运行管理等方面的指标，评价重点由产品性能拓展</w:t>
      </w:r>
      <w:proofErr w:type="gramStart"/>
      <w:r w:rsidRPr="00A870BE">
        <w:rPr>
          <w:szCs w:val="28"/>
        </w:rPr>
        <w:t>至运行</w:t>
      </w:r>
      <w:proofErr w:type="gramEnd"/>
      <w:r w:rsidRPr="00A870BE">
        <w:rPr>
          <w:szCs w:val="28"/>
        </w:rPr>
        <w:t>阶段清洁燃烧水平。通过分级评价方法，对生物质锅炉清洁燃烧运行状态进行判定，可作为生物质锅炉质量性能评价之外，对运行阶段清洁燃烧水平进行补充评价的技术依据。</w:t>
      </w:r>
    </w:p>
    <w:p w14:paraId="2A345F78" w14:textId="57488E02" w:rsidR="00445F8C" w:rsidRDefault="00084192">
      <w:pPr>
        <w:ind w:firstLine="640"/>
        <w:rPr>
          <w:szCs w:val="28"/>
        </w:rPr>
      </w:pPr>
      <w:r>
        <w:rPr>
          <w:szCs w:val="28"/>
        </w:rPr>
        <w:t>GB/T 43329—2023</w:t>
      </w:r>
      <w:r>
        <w:rPr>
          <w:szCs w:val="28"/>
        </w:rPr>
        <w:t>《清洁生产评价指标体系编制通则》规定了清洁生产评价指标体系的编制依据和要求、指标体系框架、指标选取及要求、综合评价指数计算方法、指标计算与数据采集等，适用于工业行业清洁生产评价指标体系的编制，农业、服务业等其他行业参照使用。本标准主要在该标准的基础上，针对生物质锅炉的清洁燃烧过程的指标和评价提出具体的要求，是该标准的拓展和延伸。</w:t>
      </w:r>
    </w:p>
    <w:p w14:paraId="33031C1B" w14:textId="77777777" w:rsidR="00445F8C" w:rsidRDefault="00084192">
      <w:pPr>
        <w:ind w:firstLine="640"/>
        <w:rPr>
          <w:szCs w:val="28"/>
        </w:rPr>
      </w:pPr>
      <w:r>
        <w:rPr>
          <w:szCs w:val="28"/>
        </w:rPr>
        <w:t>DB11/T 1857—2021</w:t>
      </w:r>
      <w:r>
        <w:rPr>
          <w:szCs w:val="28"/>
        </w:rPr>
        <w:t>《清洁生产评价指标体系</w:t>
      </w:r>
      <w:r>
        <w:rPr>
          <w:szCs w:val="28"/>
        </w:rPr>
        <w:t xml:space="preserve">  </w:t>
      </w:r>
      <w:r>
        <w:rPr>
          <w:szCs w:val="28"/>
        </w:rPr>
        <w:t>电力、热力生产和供应业》规定了电力、热力生产和供应业清洁生产评价指标体系、评价方法、指标计算与数据来源，适用于电力、热力生产和供应企业的清洁生产审核、评估和绩效评价。本标准主要针对生物质锅炉清洁燃烧工作过程的指标和评价提出要求，与该标准针对工业用电用煤的原材料和污染物类型不同，在指标和评价方法上均有差异。</w:t>
      </w:r>
    </w:p>
    <w:p w14:paraId="36796401" w14:textId="21CD16DA" w:rsidR="00A870BE" w:rsidRDefault="00A870BE">
      <w:pPr>
        <w:ind w:firstLine="640"/>
        <w:rPr>
          <w:szCs w:val="28"/>
        </w:rPr>
      </w:pPr>
      <w:r w:rsidRPr="00A870BE">
        <w:rPr>
          <w:szCs w:val="28"/>
        </w:rPr>
        <w:t>综上所述，现行国家标准和行业标准中尚未制定针对生物质锅炉运行阶段清洁燃烧水平的专门评价指标体系。相关标准分别从锅炉产品技术规范、质量性能评价或清洁生产指标体系编制原</w:t>
      </w:r>
      <w:r w:rsidRPr="00A870BE">
        <w:rPr>
          <w:szCs w:val="28"/>
        </w:rPr>
        <w:lastRenderedPageBreak/>
        <w:t>则等角度提出要求，与本标准在评价对象、评价阶段及指标体系构成等方面均存在明显差异。本标准面向生物质锅炉运行阶段，聚焦清洁燃烧绩效评价，构建系统化、分级化的评价指标体系，可在现有标准体系基础上形成有效补充，填补生物质锅炉清洁燃烧评价领域的标准空白，为生物质锅炉运行管理优化、污染物控制水平提升和能源利用效率改进提供技术依据。</w:t>
      </w:r>
    </w:p>
    <w:p w14:paraId="30CB1E92" w14:textId="77777777" w:rsidR="00445F8C" w:rsidRDefault="00084192">
      <w:pPr>
        <w:autoSpaceDE w:val="0"/>
        <w:autoSpaceDN w:val="0"/>
        <w:adjustRightInd w:val="0"/>
        <w:spacing w:line="560" w:lineRule="exact"/>
        <w:ind w:firstLine="640"/>
        <w:jc w:val="left"/>
        <w:rPr>
          <w:rFonts w:eastAsia="黑体"/>
          <w:szCs w:val="32"/>
        </w:rPr>
      </w:pPr>
      <w:bookmarkStart w:id="3" w:name="_Toc526940084"/>
      <w:r>
        <w:rPr>
          <w:rFonts w:eastAsia="黑体"/>
          <w:szCs w:val="32"/>
        </w:rPr>
        <w:t>五、</w:t>
      </w:r>
      <w:bookmarkEnd w:id="3"/>
      <w:r>
        <w:rPr>
          <w:rFonts w:eastAsia="黑体"/>
          <w:szCs w:val="32"/>
        </w:rPr>
        <w:t>主要条款的说明</w:t>
      </w:r>
    </w:p>
    <w:p w14:paraId="7B60A1C6" w14:textId="03541D8F" w:rsidR="00445F8C" w:rsidRDefault="00084192">
      <w:pPr>
        <w:ind w:firstLine="640"/>
      </w:pPr>
      <w:r>
        <w:rPr>
          <w:rFonts w:hint="eastAsia"/>
        </w:rPr>
        <w:t>团体标准</w:t>
      </w:r>
      <w:r>
        <w:t>《生物质锅炉清洁燃烧评价指标体系》从生物质能源清洁高效利用和环境保护的角度出发，在系统梳理国内外生物质锅炉燃烧与污染控制技术发展情况的基础上，结合生物质锅炉燃烧机理、工程运行特征及行业应用现状，通过文献调研和工程调研制定形成。指标体系的构建参考了《生物质锅炉技术规范》（</w:t>
      </w:r>
      <w:r>
        <w:t>GB/T 44906-2024</w:t>
      </w:r>
      <w:r>
        <w:t>）、</w:t>
      </w:r>
      <w:r w:rsidR="00A870BE">
        <w:t>《</w:t>
      </w:r>
      <w:r w:rsidR="00A870BE" w:rsidRPr="00A870BE">
        <w:t>生物质锅炉质量性能评价技术准则</w:t>
      </w:r>
      <w:r w:rsidR="00A870BE">
        <w:t>》（</w:t>
      </w:r>
      <w:r w:rsidR="00A870BE">
        <w:t>GB/T 4490</w:t>
      </w:r>
      <w:r w:rsidR="00A870BE">
        <w:rPr>
          <w:rFonts w:hint="eastAsia"/>
        </w:rPr>
        <w:t>7</w:t>
      </w:r>
      <w:r w:rsidR="00A870BE">
        <w:t>-2024</w:t>
      </w:r>
      <w:r w:rsidR="00A870BE">
        <w:t>）</w:t>
      </w:r>
      <w:r w:rsidR="00A870BE">
        <w:rPr>
          <w:rFonts w:hint="eastAsia"/>
        </w:rPr>
        <w:t>、</w:t>
      </w:r>
      <w:r w:rsidR="00502409">
        <w:t>《</w:t>
      </w:r>
      <w:r w:rsidR="00502409" w:rsidRPr="00502409">
        <w:rPr>
          <w:rFonts w:hint="eastAsia"/>
        </w:rPr>
        <w:t>锅炉大气污染物排放标准</w:t>
      </w:r>
      <w:r w:rsidR="00502409">
        <w:t>》（</w:t>
      </w:r>
      <w:r w:rsidR="00502409">
        <w:t xml:space="preserve">GB </w:t>
      </w:r>
      <w:r w:rsidR="00502409">
        <w:rPr>
          <w:rFonts w:hint="eastAsia"/>
        </w:rPr>
        <w:t>13271</w:t>
      </w:r>
      <w:r w:rsidR="00502409">
        <w:t>-20</w:t>
      </w:r>
      <w:r w:rsidR="00502409">
        <w:rPr>
          <w:rFonts w:hint="eastAsia"/>
        </w:rPr>
        <w:t>1</w:t>
      </w:r>
      <w:r w:rsidR="00502409">
        <w:t>4</w:t>
      </w:r>
      <w:r w:rsidR="00502409">
        <w:t>）</w:t>
      </w:r>
      <w:r>
        <w:t>和《清洁生产评价指标体系编制通则》（</w:t>
      </w:r>
      <w:r>
        <w:t>GB/T 43329-2023</w:t>
      </w:r>
      <w:r>
        <w:t>）等现行标准和技术规范，并吸收了生物质锅炉工程实践中成熟的燃烧控制与运行管理经验，旨在客观、真实地反映生物质锅炉清洁燃烧水平，为分级评价和持续改进提供技术依据。</w:t>
      </w:r>
    </w:p>
    <w:p w14:paraId="27B852C5" w14:textId="77777777" w:rsidR="00A870BE" w:rsidRDefault="00084192">
      <w:pPr>
        <w:ind w:firstLine="643"/>
      </w:pPr>
      <w:r>
        <w:rPr>
          <w:b/>
        </w:rPr>
        <w:t>生物质锅炉清洁燃烧定义：</w:t>
      </w:r>
      <w:r w:rsidR="00A870BE" w:rsidRPr="00A870BE">
        <w:t>以生物质为燃料的锅炉，通过采用先进燃烧设备、配套烟气净化装置和规范运行管理，在提高燃料燃烧效率和能量利用率的同时，最大限度减少污染物生成和排放，实现环境保护与能源利用相协调的燃烧方式。</w:t>
      </w:r>
    </w:p>
    <w:p w14:paraId="23A4F160" w14:textId="01A4BB76" w:rsidR="00445F8C" w:rsidRDefault="00084192">
      <w:pPr>
        <w:ind w:firstLine="643"/>
      </w:pPr>
      <w:r>
        <w:rPr>
          <w:b/>
        </w:rPr>
        <w:lastRenderedPageBreak/>
        <w:t>目标与责任：</w:t>
      </w:r>
      <w:r>
        <w:t>当前生物质锅炉项目多以企业主体投资建设并运营，或在政府相关主管部门引导和政策支持下，由企业主体承担建设和运行管理责任的模式开展，服务对象涵盖工业企业、园区及区域供热等多种应用场景。尽管建设和运行组织模式存在差异，其目标是一致的，均是在生物质锅炉清洁燃烧体系内，实现将预防为主的环境保护理念融入生物质燃料利用与热能供给过程，推动可再生能源高效利用与环境质量协同改善的可持续发展目标。</w:t>
      </w:r>
    </w:p>
    <w:p w14:paraId="09CCAA2C" w14:textId="77777777" w:rsidR="00445F8C" w:rsidRDefault="00084192">
      <w:pPr>
        <w:ind w:firstLine="640"/>
      </w:pPr>
      <w:r>
        <w:t>在现行法律法规和政策框架下，由具体承担生物质锅炉建设和运行管理的企业主体，基于生物质燃烧工程与环境工程理论，承担生物质锅炉工程建设与运行过程中燃料规范使用、稳定燃烧组织、污染物控制与减排、资源高效利用及能源供给保障等责任，并依法享有通过提供合</w:t>
      </w:r>
      <w:proofErr w:type="gramStart"/>
      <w:r>
        <w:t>规</w:t>
      </w:r>
      <w:proofErr w:type="gramEnd"/>
      <w:r>
        <w:t>、清洁和可靠能源服务而取得合理经济回报的权利。</w:t>
      </w:r>
    </w:p>
    <w:p w14:paraId="0BA9199A" w14:textId="77777777" w:rsidR="00445F8C" w:rsidRDefault="00084192">
      <w:pPr>
        <w:ind w:firstLine="643"/>
      </w:pPr>
      <w:r>
        <w:rPr>
          <w:b/>
        </w:rPr>
        <w:t>法律调节基础与工程理论基础：</w:t>
      </w:r>
      <w:r>
        <w:t>生物质锅炉清洁燃烧的法律调节基础是生态环境保护与可再生能源可持续利用，而不仅仅是能源替代或经济收益。</w:t>
      </w:r>
    </w:p>
    <w:p w14:paraId="7147E496" w14:textId="77777777" w:rsidR="00445F8C" w:rsidRDefault="00084192">
      <w:pPr>
        <w:ind w:firstLine="640"/>
      </w:pPr>
      <w:r>
        <w:t>生物质锅炉清洁燃烧的法律调节关键在于政府相关主管部门通过环境保护、能源利用和大气污染防治等法律法规，对生物质燃料来源、锅炉运行及污染物排放行为进行规范和引导；法律调节的重要补充是社会公众和相关利益主体对生物质锅炉环境影响和运行行为的监督与参与。</w:t>
      </w:r>
    </w:p>
    <w:p w14:paraId="6E193ECF" w14:textId="77777777" w:rsidR="00445F8C" w:rsidRDefault="00084192">
      <w:pPr>
        <w:ind w:firstLine="640"/>
      </w:pPr>
      <w:r>
        <w:lastRenderedPageBreak/>
        <w:t>生物质锅炉清洁燃烧的工程理论基础主要包括燃烧工程与热工学、固体生物质燃料特性与转化机理、污染物生成与控制理论，以及环境工程与运行管理等相关工程学科，为清洁燃烧评价指标体系的建立提供工程与理论支撑。</w:t>
      </w:r>
    </w:p>
    <w:p w14:paraId="598B6FD4" w14:textId="77777777" w:rsidR="00445F8C" w:rsidRDefault="00084192">
      <w:pPr>
        <w:ind w:firstLine="643"/>
      </w:pPr>
      <w:r>
        <w:rPr>
          <w:b/>
        </w:rPr>
        <w:t>生物质锅炉清洁燃烧发展路线：</w:t>
      </w:r>
      <w:r>
        <w:t>生物质锅炉清洁燃烧的发展，是在长期工程实践积累、逐步完善的锅炉技术装备、不断强化的环境管理要求以及运行管理水平持续提升的支撑下，实现由</w:t>
      </w:r>
      <w:r>
        <w:t>“</w:t>
      </w:r>
      <w:r>
        <w:t>可运行</w:t>
      </w:r>
      <w:r>
        <w:t>”</w:t>
      </w:r>
      <w:r>
        <w:t>向</w:t>
      </w:r>
      <w:r>
        <w:t>“</w:t>
      </w:r>
      <w:r>
        <w:t>可持续运行</w:t>
      </w:r>
      <w:r>
        <w:t>”</w:t>
      </w:r>
      <w:r>
        <w:t>的转变过程。生物质锅炉清洁燃烧的发展路线，经历了从以满足供热需求为目标的基础燃烧利用阶段，逐步发展到以污染物达标排放为约束条件的环境约束燃烧阶段，并进一步向兼顾能源利用效率、资源消耗和减</w:t>
      </w:r>
      <w:proofErr w:type="gramStart"/>
      <w:r>
        <w:t>污降碳</w:t>
      </w:r>
      <w:proofErr w:type="gramEnd"/>
      <w:r>
        <w:t>协同的综合约束燃烧阶段变化。</w:t>
      </w:r>
    </w:p>
    <w:p w14:paraId="554DEFC1" w14:textId="77777777" w:rsidR="00445F8C" w:rsidRDefault="00084192">
      <w:pPr>
        <w:ind w:firstLine="640"/>
      </w:pPr>
      <w:r>
        <w:t>在早期应用阶段，生物质锅炉主要以实现燃料替代和热能供给为目标，关注重点集中于锅炉能否稳定运行和满足基本排放要求；随着环保要求不断提高，污染物排放控制成为生物质锅炉运行的重要约束条件，燃烧方式优化和烟气净化设施配置逐步成为工程建设和运行管理的基本要求。进一步发展阶段中，单纯依赖末端治理和排放达标已难以支撑生物质锅炉的长期稳定运行，燃烧过程控制、运行性能、能源与资源利用效率以及温室气体排放水平逐渐成为衡量生物质锅炉清洁燃烧水平的重要内容。</w:t>
      </w:r>
    </w:p>
    <w:p w14:paraId="29F3B3DA" w14:textId="77777777" w:rsidR="00445F8C" w:rsidRDefault="00084192">
      <w:pPr>
        <w:ind w:firstLine="640"/>
      </w:pPr>
      <w:r>
        <w:t>从环境约束燃烧向综合约束燃烧转变的标志，在于生物质锅炉运行目标由</w:t>
      </w:r>
      <w:r>
        <w:t>“</w:t>
      </w:r>
      <w:r>
        <w:t>达标运行</w:t>
      </w:r>
      <w:r>
        <w:t>”</w:t>
      </w:r>
      <w:r>
        <w:t>提升为</w:t>
      </w:r>
      <w:r>
        <w:t>“</w:t>
      </w:r>
      <w:r>
        <w:t>高效、低耗、低排放和高可靠性</w:t>
      </w:r>
      <w:r>
        <w:lastRenderedPageBreak/>
        <w:t>运行</w:t>
      </w:r>
      <w:r>
        <w:t>”</w:t>
      </w:r>
      <w:r>
        <w:t>，通过提高燃烧效率、降低辅助能源和原辅材料消耗、提升副产物综合利用水平，并结合供热、热电联产等方式，实现良好的环境绩效与经济可持续性。</w:t>
      </w:r>
    </w:p>
    <w:p w14:paraId="05478BE3" w14:textId="77777777" w:rsidR="00445F8C" w:rsidRDefault="00084192">
      <w:pPr>
        <w:ind w:firstLine="640"/>
      </w:pPr>
      <w:r>
        <w:rPr>
          <w:rFonts w:hint="eastAsia"/>
        </w:rPr>
        <w:t>团体标准</w:t>
      </w:r>
      <w:r>
        <w:t>《生物质锅炉清洁燃烧评价指标体系》正是在上述发展背景下提出，从生产工艺和装备、能源与资源消耗、综合利用率与可靠性、大气排放</w:t>
      </w:r>
      <w:r>
        <w:rPr>
          <w:rFonts w:hint="eastAsia"/>
        </w:rPr>
        <w:t>、固体废弃物产生与处置、</w:t>
      </w:r>
      <w:r>
        <w:t>温室气体</w:t>
      </w:r>
      <w:r>
        <w:rPr>
          <w:rFonts w:hint="eastAsia"/>
        </w:rPr>
        <w:t>排放、清洁燃烧管理</w:t>
      </w:r>
      <w:r>
        <w:t>等多个方面，对生物质锅炉清洁燃烧水平提出定量与定性的评价要求。指标体系中所设置的评价指标、基准值及相关管理要求，均来源于国内生物质锅炉工程建设和运行实践，并经实践验证具有可行性和有效性。通过实施</w:t>
      </w:r>
      <w:proofErr w:type="gramStart"/>
      <w:r>
        <w:t>本评价</w:t>
      </w:r>
      <w:proofErr w:type="gramEnd"/>
      <w:r>
        <w:t>指标体系，旨在引导生物质锅炉运行主体持续提升燃烧控制和装备水平，降低资源与能源消耗，减少污染物和温室气体排放，完善运行管理体系，促进生物质锅炉行业的清洁化、规范化和可持续发展。</w:t>
      </w:r>
    </w:p>
    <w:p w14:paraId="12211983" w14:textId="063ECD4A" w:rsidR="00444356" w:rsidRDefault="00444356">
      <w:pPr>
        <w:ind w:firstLine="640"/>
      </w:pPr>
      <w:r w:rsidRPr="00444356">
        <w:t>为确保生物质锅炉清洁燃烧评价工作的顺利进行，并保证评价结果的准确性和可操作性，参与清洁燃烧评价的企业主体需满足一系列基本要求</w:t>
      </w:r>
      <w:r>
        <w:rPr>
          <w:rFonts w:hint="eastAsia"/>
        </w:rPr>
        <w:t>：</w:t>
      </w:r>
    </w:p>
    <w:p w14:paraId="188E5129" w14:textId="38B851A6" w:rsidR="00445F8C" w:rsidRDefault="00084192">
      <w:pPr>
        <w:ind w:firstLine="640"/>
      </w:pPr>
      <w:r>
        <w:t>（</w:t>
      </w:r>
      <w:r>
        <w:t>1</w:t>
      </w:r>
      <w:r>
        <w:t>）依法依规组织生产运行，落实环境保护、安全生产等相关法律法规和标准要求，具备明确的环境管理责任体系；</w:t>
      </w:r>
    </w:p>
    <w:p w14:paraId="26CC5F5F" w14:textId="77777777" w:rsidR="00445F8C" w:rsidRDefault="00084192">
      <w:pPr>
        <w:ind w:firstLine="640"/>
      </w:pPr>
      <w:r>
        <w:t>（</w:t>
      </w:r>
      <w:r>
        <w:t>2</w:t>
      </w:r>
      <w:r>
        <w:t>）建立健全常态化的安全、可靠和环保运行维护管理制度，确保锅炉及配套设施长期稳定运行；</w:t>
      </w:r>
    </w:p>
    <w:p w14:paraId="09739250" w14:textId="77777777" w:rsidR="00445F8C" w:rsidRDefault="00084192">
      <w:pPr>
        <w:ind w:firstLine="640"/>
      </w:pPr>
      <w:r>
        <w:t>（</w:t>
      </w:r>
      <w:r>
        <w:t>3</w:t>
      </w:r>
      <w:r>
        <w:t>）根据锅炉规模、燃料特性和污染物控制要求，合理配置燃烧系统、环保治理设施及在线监测等必要的硬件条件；</w:t>
      </w:r>
    </w:p>
    <w:p w14:paraId="31C0AF86" w14:textId="77777777" w:rsidR="00445F8C" w:rsidRDefault="00084192">
      <w:pPr>
        <w:ind w:firstLine="640"/>
      </w:pPr>
      <w:r>
        <w:lastRenderedPageBreak/>
        <w:t>（</w:t>
      </w:r>
      <w:r>
        <w:t>4</w:t>
      </w:r>
      <w:r>
        <w:t>）加强工程运行管理与技术支撑能力，具备持续开展燃烧优化、污染控制和运行改进的工程技术基础；</w:t>
      </w:r>
    </w:p>
    <w:p w14:paraId="481A84D1" w14:textId="77777777" w:rsidR="00445F8C" w:rsidRDefault="00084192">
      <w:pPr>
        <w:ind w:firstLine="640"/>
      </w:pPr>
      <w:r>
        <w:t>（</w:t>
      </w:r>
      <w:r>
        <w:t>5</w:t>
      </w:r>
      <w:r>
        <w:t>）建立覆盖运行、维护和管理人员的培训与能力提升机制，提高基于不同工况条件下的安全运行和环境管理综合技术水平；</w:t>
      </w:r>
    </w:p>
    <w:p w14:paraId="3C66174C" w14:textId="77777777" w:rsidR="00445F8C" w:rsidRDefault="00084192">
      <w:pPr>
        <w:ind w:firstLine="640"/>
      </w:pPr>
      <w:r>
        <w:t>（</w:t>
      </w:r>
      <w:r>
        <w:t>6</w:t>
      </w:r>
      <w:r>
        <w:t>）规范运行管理与信息记录，按要求开展运行数据管理和必要的信息公开，支撑清洁燃烧评价工作的实施；</w:t>
      </w:r>
    </w:p>
    <w:p w14:paraId="3398A27D" w14:textId="77777777" w:rsidR="00445F8C" w:rsidRDefault="00084192">
      <w:pPr>
        <w:ind w:firstLine="640"/>
      </w:pPr>
      <w:r>
        <w:t>（</w:t>
      </w:r>
      <w:r>
        <w:t>7</w:t>
      </w:r>
      <w:r>
        <w:t>）具备接受社会监督和技术评估的条件，为清洁燃烧评价结果的客观性和透明性提供保障。</w:t>
      </w:r>
    </w:p>
    <w:p w14:paraId="3417DE70" w14:textId="634CFCE1" w:rsidR="00444356" w:rsidRDefault="00444356">
      <w:pPr>
        <w:ind w:firstLine="640"/>
      </w:pPr>
      <w:r>
        <w:rPr>
          <w:rFonts w:hint="eastAsia"/>
        </w:rPr>
        <w:t>上述</w:t>
      </w:r>
      <w:r w:rsidRPr="00444356">
        <w:t>要求涵盖了生产运行的合</w:t>
      </w:r>
      <w:proofErr w:type="gramStart"/>
      <w:r w:rsidRPr="00444356">
        <w:t>规</w:t>
      </w:r>
      <w:proofErr w:type="gramEnd"/>
      <w:r w:rsidRPr="00444356">
        <w:t>性、安全与环保管理、技术能力、人员培训及信息管理等多个方面，旨在推动企业实现长期稳定、环保高效的锅炉运行，并为清洁燃烧评价提供有力支持。</w:t>
      </w:r>
    </w:p>
    <w:p w14:paraId="019E7420" w14:textId="77777777" w:rsidR="00445F8C" w:rsidRDefault="00084192">
      <w:pPr>
        <w:ind w:firstLine="643"/>
      </w:pPr>
      <w:r>
        <w:rPr>
          <w:b/>
        </w:rPr>
        <w:t>清洁燃烧体系的主要工程基础：</w:t>
      </w:r>
      <w:r>
        <w:t>生物质锅炉清洁燃烧体系的构建，依托燃烧工程与环境工程相关理论与工程运行经验，核心目标在于通过对燃烧过程、污染物生成机理及控制路径的系统分析，实现能源利用效率提升与污染物排放控制的协同优化。</w:t>
      </w:r>
    </w:p>
    <w:p w14:paraId="36D99384" w14:textId="77777777" w:rsidR="00445F8C" w:rsidRDefault="00084192">
      <w:pPr>
        <w:ind w:firstLine="640"/>
      </w:pPr>
      <w:r>
        <w:t>从燃烧工程角度看，清洁燃烧体系以燃烧热工学及传热传质过程为基础。生物质燃料成分复杂、挥发分高、含水率波动大，其燃烧过程涉及干燥、热解、气相燃烧与焦炭燃烧等多个阶段。燃烧阶段间的耦合特性对炉内温度分布、氧气供给方式及反应停留时间高度敏感。通过合理组织炉内温度场、分级配风及燃料与空气的混合过程，可提高燃料燃尽程度，降低不完全燃烧损失，</w:t>
      </w:r>
      <w:r>
        <w:lastRenderedPageBreak/>
        <w:t>为实现较低的一氧化碳排放水平和较高的热效率提供热工基础。</w:t>
      </w:r>
    </w:p>
    <w:p w14:paraId="53FD0904" w14:textId="7196132F" w:rsidR="00445F8C" w:rsidRDefault="00084192">
      <w:pPr>
        <w:ind w:firstLine="640"/>
      </w:pPr>
      <w:r>
        <w:t>从环境化学角度看，清洁燃烧体系建立在污染物生成与转化机理的认识之上。生物质燃烧过程中，</w:t>
      </w:r>
      <w:r w:rsidR="00502409">
        <w:rPr>
          <w:rFonts w:hint="eastAsia"/>
        </w:rPr>
        <w:t>SO</w:t>
      </w:r>
      <w:r w:rsidR="00502409" w:rsidRPr="00502409">
        <w:rPr>
          <w:rFonts w:hint="eastAsia"/>
          <w:vertAlign w:val="subscript"/>
        </w:rPr>
        <w:t>2</w:t>
      </w:r>
      <w:r>
        <w:t>、</w:t>
      </w:r>
      <w:r>
        <w:t>NO</w:t>
      </w:r>
      <w:r w:rsidRPr="00502409">
        <w:rPr>
          <w:i/>
          <w:iCs/>
          <w:vertAlign w:val="subscript"/>
        </w:rPr>
        <w:t>x</w:t>
      </w:r>
      <w:r>
        <w:t>、颗粒物</w:t>
      </w:r>
      <w:r w:rsidR="00502409">
        <w:rPr>
          <w:rFonts w:hint="eastAsia"/>
        </w:rPr>
        <w:t>等大气</w:t>
      </w:r>
      <w:r>
        <w:t>污染物的生成，与燃料理化性质、局部当量比、温度分布及反应时间密切相关。通过调控燃烧条件，降低污染物前驱物生成概率，并促进其向环境风险较低的形态转化，是开展清洁燃烧评价的重要科学依据。</w:t>
      </w:r>
    </w:p>
    <w:p w14:paraId="2D4FD07F" w14:textId="77777777" w:rsidR="00445F8C" w:rsidRDefault="00084192">
      <w:pPr>
        <w:ind w:firstLine="640"/>
      </w:pPr>
      <w:r>
        <w:t>从系统工程角度看，清洁燃烧体系依托于多污染物协同控制原理。生物质锅炉污染物排放通常表现为组分多、浓度相对较低且随工况波动明显，单一控制措施难以在保证排放稳定性的同时兼顾经济性。通过燃烧过程优化与脱硫、脱硝、除尘等末端治理设施的合理配置，实现燃烧控制与污染治理的协同作用，是生物质锅炉清洁燃烧工程实践的重要支撑。</w:t>
      </w:r>
    </w:p>
    <w:p w14:paraId="69FE5D25" w14:textId="77777777" w:rsidR="00445F8C" w:rsidRDefault="00084192">
      <w:pPr>
        <w:ind w:firstLine="640"/>
      </w:pPr>
      <w:r>
        <w:t>从运行管理层面看，清洁燃烧体系强调全过程管理要求。生物质锅炉的清洁运行不仅取决于单项技术措施，还与燃料管理方式、设备配置水平、运行维护状态及管理制度密切相关。通过构建以燃烧过程稳定性、环境绩效和运行安全性为核心的系统化评价框架，可为清洁燃烧水平的持续保持和运行优化提供支撑。</w:t>
      </w:r>
    </w:p>
    <w:p w14:paraId="5E483971" w14:textId="256ADA74" w:rsidR="00445F8C" w:rsidRDefault="00084192">
      <w:pPr>
        <w:ind w:firstLine="643"/>
      </w:pPr>
      <w:r>
        <w:rPr>
          <w:b/>
        </w:rPr>
        <w:t>清洁燃烧体系的可持续发展：</w:t>
      </w:r>
      <w:r>
        <w:t>可持续发展的概念可追溯到</w:t>
      </w:r>
      <w:r>
        <w:t xml:space="preserve"> 1980</w:t>
      </w:r>
      <w:r>
        <w:t>年国际自然保护同盟的《世界自然资源保护大纲》，其中明确</w:t>
      </w:r>
      <w:r>
        <w:t>“</w:t>
      </w:r>
      <w:r>
        <w:t>必须研究自然的、社会的、生态的、经济的以及利用自然资源过程中的基本关系，以确保全球的可持续发展</w:t>
      </w:r>
      <w:r>
        <w:t>”</w:t>
      </w:r>
      <w:r>
        <w:t>。在可持续发展理</w:t>
      </w:r>
      <w:r>
        <w:lastRenderedPageBreak/>
        <w:t>念下，清洁燃烧体系的可持续性并不表现为单一运行工况下性能指标的最优，而体现在多重约束条件下系统长期运行能力的稳定保持。生物质锅炉在运行过程中同时承担供热和能源利用功能，其运行状态受到燃料品质波动、设备结构条件、环境容量和运行成本等因素的共同制约，这些因素</w:t>
      </w:r>
      <w:proofErr w:type="gramStart"/>
      <w:r>
        <w:t>并不随单次</w:t>
      </w:r>
      <w:proofErr w:type="gramEnd"/>
      <w:r>
        <w:t>技术改造而消失，而是在整个运行周期内持续存在。清洁燃烧体系的运行目标因此表现为在上述约束条件下保持燃烧过程和排放特征的稳定，而不是在个别工况下取得某一指标的极限值。</w:t>
      </w:r>
    </w:p>
    <w:p w14:paraId="13D09E90" w14:textId="77777777" w:rsidR="00445F8C" w:rsidRDefault="00084192">
      <w:pPr>
        <w:ind w:firstLine="640"/>
      </w:pPr>
      <w:r>
        <w:t>在环境约束层面，污染物排放控制不仅涉及是否满足排放限值，还涉及排放在负荷变化和运行波动条件下的稳定程度，以及末端治理设施在长期运行中的可靠性。通过短期强化控制手段实现排放达标，往往会将运行负担转移至设备磨损、能耗增加或运行风险累积等方面。燃烧过程控制方式与污染治理设施配置之间的匹配程度，直接影响系统在长期运行条件下环境绩效的保持能力。</w:t>
      </w:r>
    </w:p>
    <w:p w14:paraId="455FAD1D" w14:textId="77777777" w:rsidR="00445F8C" w:rsidRDefault="00084192">
      <w:pPr>
        <w:ind w:firstLine="640"/>
      </w:pPr>
      <w:r>
        <w:t>在技术实施层面，生物质燃料来源结构、运行工况和管理要求处于持续变化状态，清洁燃烧体系需要通过运行参数调整、技术组合优化和局部改造来适应这些变化，而不是依赖一次性、高投入的工程措施。运行过程中的可调节性决定了系统在条件变化时能否维持既定性能区间，也决定了运行管理和技术改进的实际空间。</w:t>
      </w:r>
    </w:p>
    <w:p w14:paraId="02811139" w14:textId="77777777" w:rsidR="00445F8C" w:rsidRDefault="00084192">
      <w:pPr>
        <w:ind w:firstLine="640"/>
      </w:pPr>
      <w:r>
        <w:t>在上述运行特征下，评价体系承担的是对运行状态进行持续</w:t>
      </w:r>
      <w:r>
        <w:lastRenderedPageBreak/>
        <w:t>记录和反映的功能。通过对燃烧稳定性、能源利用效率、污染物排放控制水平及运行管理状况等要素进行系统描述，可以为运行调整和技术优化提供依据，使清洁燃烧体系在长期运行过程中保持可控状态。</w:t>
      </w:r>
    </w:p>
    <w:p w14:paraId="2C7E6976" w14:textId="77777777" w:rsidR="00445F8C" w:rsidRDefault="00084192">
      <w:pPr>
        <w:ind w:firstLine="640"/>
        <w:rPr>
          <w:szCs w:val="32"/>
          <w:lang w:val="zh-CN"/>
        </w:rPr>
      </w:pPr>
      <w:r>
        <w:rPr>
          <w:szCs w:val="32"/>
          <w:lang w:val="zh-CN"/>
        </w:rPr>
        <w:t>本文件主要内容及依据来源说明如下：</w:t>
      </w:r>
    </w:p>
    <w:p w14:paraId="08A09EBA" w14:textId="77777777" w:rsidR="00445F8C" w:rsidRDefault="00084192" w:rsidP="00084192">
      <w:pPr>
        <w:pStyle w:val="aff6"/>
        <w:numPr>
          <w:ilvl w:val="0"/>
          <w:numId w:val="18"/>
        </w:numPr>
        <w:autoSpaceDE w:val="0"/>
        <w:autoSpaceDN w:val="0"/>
        <w:adjustRightInd w:val="0"/>
        <w:spacing w:line="560" w:lineRule="exact"/>
        <w:ind w:left="0" w:firstLine="640"/>
        <w:jc w:val="left"/>
        <w:rPr>
          <w:rFonts w:eastAsia="黑体"/>
          <w:szCs w:val="32"/>
        </w:rPr>
      </w:pPr>
      <w:bookmarkStart w:id="4" w:name="_Toc526940086"/>
      <w:r>
        <w:rPr>
          <w:rFonts w:eastAsia="黑体"/>
          <w:szCs w:val="32"/>
        </w:rPr>
        <w:t>标准适用范围</w:t>
      </w:r>
    </w:p>
    <w:p w14:paraId="25195AB8" w14:textId="751D1373" w:rsidR="00502409" w:rsidRDefault="00502409">
      <w:pPr>
        <w:autoSpaceDE w:val="0"/>
        <w:autoSpaceDN w:val="0"/>
        <w:adjustRightInd w:val="0"/>
        <w:spacing w:line="560" w:lineRule="exact"/>
        <w:ind w:firstLine="640"/>
        <w:rPr>
          <w:szCs w:val="32"/>
          <w:lang w:val="zh-CN"/>
        </w:rPr>
      </w:pPr>
      <w:r w:rsidRPr="00502409">
        <w:rPr>
          <w:szCs w:val="32"/>
        </w:rPr>
        <w:t>本标准适用于以生物质燃料为主要能源的工业锅炉和供热锅炉清洁燃烧水平的评价，适用对象为额定工作压力大于或等于</w:t>
      </w:r>
      <w:r w:rsidRPr="00502409">
        <w:rPr>
          <w:szCs w:val="32"/>
        </w:rPr>
        <w:t>0.1 MPa</w:t>
      </w:r>
      <w:r w:rsidRPr="00502409">
        <w:rPr>
          <w:szCs w:val="32"/>
        </w:rPr>
        <w:t>（表压），且额定蒸发量大于或等于</w:t>
      </w:r>
      <w:r w:rsidRPr="00502409">
        <w:rPr>
          <w:szCs w:val="32"/>
        </w:rPr>
        <w:t>10 t/h</w:t>
      </w:r>
      <w:r w:rsidRPr="00502409">
        <w:rPr>
          <w:szCs w:val="32"/>
        </w:rPr>
        <w:t>的蒸汽锅炉，以及额定工作压力大于或等于</w:t>
      </w:r>
      <w:r w:rsidRPr="00502409">
        <w:rPr>
          <w:szCs w:val="32"/>
        </w:rPr>
        <w:t>0.1 MPa</w:t>
      </w:r>
      <w:r w:rsidRPr="00502409">
        <w:rPr>
          <w:szCs w:val="32"/>
        </w:rPr>
        <w:t>（表压），且额定热功率大于或等于</w:t>
      </w:r>
      <w:r w:rsidRPr="00502409">
        <w:rPr>
          <w:szCs w:val="32"/>
        </w:rPr>
        <w:t>7 MW</w:t>
      </w:r>
      <w:r w:rsidRPr="00502409">
        <w:rPr>
          <w:szCs w:val="32"/>
        </w:rPr>
        <w:t>的热水锅炉和有机热载体锅炉。评价对象为锅炉在正常运行条件下的燃烧过程、能源利用状况及污染物控制水平，评价目的在于反映生物质锅炉在实际运行状态下的清洁燃烧水平，为运行管理、技术改造和持续改进提供依据。本标准不作为污染物排放限值判定依据，不替代现行锅炉大气污染物排放控制相关标准。</w:t>
      </w:r>
    </w:p>
    <w:p w14:paraId="0AED730F" w14:textId="77777777" w:rsidR="00445F8C" w:rsidRDefault="00084192" w:rsidP="00084192">
      <w:pPr>
        <w:pStyle w:val="aff6"/>
        <w:numPr>
          <w:ilvl w:val="0"/>
          <w:numId w:val="18"/>
        </w:numPr>
        <w:autoSpaceDE w:val="0"/>
        <w:autoSpaceDN w:val="0"/>
        <w:adjustRightInd w:val="0"/>
        <w:spacing w:line="560" w:lineRule="exact"/>
        <w:ind w:left="0" w:firstLine="640"/>
        <w:jc w:val="left"/>
        <w:rPr>
          <w:rFonts w:eastAsia="黑体"/>
          <w:szCs w:val="32"/>
        </w:rPr>
      </w:pPr>
      <w:r>
        <w:rPr>
          <w:rFonts w:eastAsia="黑体"/>
          <w:szCs w:val="32"/>
        </w:rPr>
        <w:t>标准结构框架</w:t>
      </w:r>
    </w:p>
    <w:p w14:paraId="5263C58A" w14:textId="77777777" w:rsidR="00445F8C" w:rsidRDefault="00084192" w:rsidP="00EB051E">
      <w:pPr>
        <w:autoSpaceDE w:val="0"/>
        <w:autoSpaceDN w:val="0"/>
        <w:adjustRightInd w:val="0"/>
        <w:spacing w:line="560" w:lineRule="exact"/>
        <w:ind w:firstLine="640"/>
        <w:rPr>
          <w:szCs w:val="32"/>
          <w:lang w:val="zh-CN"/>
        </w:rPr>
      </w:pPr>
      <w:r>
        <w:rPr>
          <w:szCs w:val="32"/>
          <w:lang w:val="zh-CN"/>
        </w:rPr>
        <w:t>本标准围绕生物质锅炉清洁燃烧水平评价这一核心目标，形成以评价指标体系为核心的技术结构框架，相关技术内容按照评价实施的实际流程进行组织。</w:t>
      </w:r>
    </w:p>
    <w:p w14:paraId="589E16B9" w14:textId="4B9DD596" w:rsidR="00445F8C" w:rsidRDefault="00084192" w:rsidP="00EB051E">
      <w:pPr>
        <w:autoSpaceDE w:val="0"/>
        <w:autoSpaceDN w:val="0"/>
        <w:adjustRightInd w:val="0"/>
        <w:spacing w:line="560" w:lineRule="exact"/>
        <w:ind w:firstLine="640"/>
        <w:rPr>
          <w:szCs w:val="32"/>
          <w:lang w:val="zh-CN"/>
        </w:rPr>
      </w:pPr>
      <w:r>
        <w:rPr>
          <w:szCs w:val="32"/>
          <w:lang w:val="zh-CN"/>
        </w:rPr>
        <w:t>本标准文本包括适用范围、规范性引用文件、术语和定义、、评价方法以及</w:t>
      </w:r>
      <w:r w:rsidR="002C6A53">
        <w:rPr>
          <w:rFonts w:hint="eastAsia"/>
          <w:szCs w:val="32"/>
          <w:lang w:val="zh-CN"/>
        </w:rPr>
        <w:t>指标计算及数据来源</w:t>
      </w:r>
      <w:r>
        <w:rPr>
          <w:szCs w:val="32"/>
          <w:lang w:val="zh-CN"/>
        </w:rPr>
        <w:t>等章节内容。其中，适用范围明确本标准的评价对象和适用边界；规范性引用文件和术语与定义用于统一评价过程中采用的技术依据和概念表述；</w:t>
      </w:r>
      <w:r w:rsidR="003910E6">
        <w:rPr>
          <w:rFonts w:hint="eastAsia"/>
          <w:szCs w:val="32"/>
          <w:lang w:val="zh-CN"/>
        </w:rPr>
        <w:t>评价指标体</w:t>
      </w:r>
      <w:r w:rsidR="003910E6">
        <w:rPr>
          <w:rFonts w:hint="eastAsia"/>
          <w:szCs w:val="32"/>
          <w:lang w:val="zh-CN"/>
        </w:rPr>
        <w:lastRenderedPageBreak/>
        <w:t>系表</w:t>
      </w:r>
      <w:r>
        <w:rPr>
          <w:szCs w:val="32"/>
          <w:lang w:val="zh-CN"/>
        </w:rPr>
        <w:t>构建由一级指标和二级指标组成的评价框架，用于反映生物质锅炉燃烧过程稳定性、能源利用效率、污染物排放控制水平及运行管理状况；评价方法章节规定</w:t>
      </w:r>
      <w:r w:rsidR="003910E6">
        <w:rPr>
          <w:rFonts w:hint="eastAsia"/>
          <w:szCs w:val="32"/>
          <w:lang w:val="zh-CN"/>
        </w:rPr>
        <w:t>权重获取方法</w:t>
      </w:r>
      <w:r>
        <w:rPr>
          <w:szCs w:val="32"/>
          <w:lang w:val="zh-CN"/>
        </w:rPr>
        <w:t>、</w:t>
      </w:r>
      <w:r w:rsidR="003910E6">
        <w:rPr>
          <w:rFonts w:hint="eastAsia"/>
          <w:szCs w:val="32"/>
          <w:lang w:val="zh-CN"/>
        </w:rPr>
        <w:t>综合评价指标</w:t>
      </w:r>
      <w:r>
        <w:rPr>
          <w:szCs w:val="32"/>
          <w:lang w:val="zh-CN"/>
        </w:rPr>
        <w:t>计算以及</w:t>
      </w:r>
      <w:r w:rsidR="003910E6" w:rsidRPr="003910E6">
        <w:rPr>
          <w:rFonts w:hint="eastAsia"/>
          <w:szCs w:val="32"/>
          <w:lang w:val="zh-CN"/>
        </w:rPr>
        <w:t>清洁燃烧等级确定</w:t>
      </w:r>
      <w:r>
        <w:rPr>
          <w:szCs w:val="32"/>
          <w:lang w:val="zh-CN"/>
        </w:rPr>
        <w:t>；</w:t>
      </w:r>
      <w:r w:rsidR="003910E6" w:rsidRPr="003910E6">
        <w:rPr>
          <w:rFonts w:hint="eastAsia"/>
          <w:szCs w:val="32"/>
          <w:lang w:val="zh-CN"/>
        </w:rPr>
        <w:t>指标计算及数据来源</w:t>
      </w:r>
      <w:r>
        <w:rPr>
          <w:szCs w:val="32"/>
          <w:lang w:val="zh-CN"/>
        </w:rPr>
        <w:t>章节明确</w:t>
      </w:r>
      <w:r w:rsidR="003910E6" w:rsidRPr="003910E6">
        <w:rPr>
          <w:rFonts w:hint="eastAsia"/>
          <w:szCs w:val="32"/>
          <w:lang w:val="zh-CN"/>
        </w:rPr>
        <w:t>评价指标体系表</w:t>
      </w:r>
      <w:r w:rsidR="003910E6">
        <w:rPr>
          <w:rFonts w:hint="eastAsia"/>
          <w:szCs w:val="32"/>
          <w:lang w:val="zh-CN"/>
        </w:rPr>
        <w:t>中二级指标的计算公式及</w:t>
      </w:r>
      <w:r w:rsidR="003910E6" w:rsidRPr="003910E6">
        <w:rPr>
          <w:rFonts w:hint="eastAsia"/>
          <w:szCs w:val="32"/>
        </w:rPr>
        <w:t>数据来源</w:t>
      </w:r>
      <w:proofErr w:type="gramStart"/>
      <w:r w:rsidR="003910E6" w:rsidRPr="003910E6">
        <w:rPr>
          <w:rFonts w:hint="eastAsia"/>
          <w:szCs w:val="32"/>
        </w:rPr>
        <w:t>来源</w:t>
      </w:r>
      <w:proofErr w:type="gramEnd"/>
      <w:r w:rsidR="003910E6">
        <w:rPr>
          <w:rFonts w:hint="eastAsia"/>
          <w:szCs w:val="32"/>
          <w:lang w:val="zh-CN"/>
        </w:rPr>
        <w:t>。</w:t>
      </w:r>
    </w:p>
    <w:p w14:paraId="43DA9E02" w14:textId="4617851E" w:rsidR="00445F8C" w:rsidRDefault="00084192" w:rsidP="00EB051E">
      <w:pPr>
        <w:autoSpaceDE w:val="0"/>
        <w:autoSpaceDN w:val="0"/>
        <w:adjustRightInd w:val="0"/>
        <w:spacing w:line="560" w:lineRule="exact"/>
        <w:ind w:firstLine="640"/>
        <w:rPr>
          <w:b/>
          <w:szCs w:val="32"/>
          <w:lang w:val="zh-CN"/>
        </w:rPr>
      </w:pPr>
      <w:r>
        <w:rPr>
          <w:szCs w:val="32"/>
          <w:lang w:val="zh-CN"/>
        </w:rPr>
        <w:t>在上述结构中，评价指标体系作为标准的核心技术内容，起到承接总体要求与评价方法的关键作用。评价方法围绕指标体系的具体应用展开，</w:t>
      </w:r>
      <w:r w:rsidR="003910E6">
        <w:rPr>
          <w:rFonts w:hint="eastAsia"/>
          <w:szCs w:val="32"/>
          <w:lang w:val="zh-CN"/>
        </w:rPr>
        <w:t>评价结果</w:t>
      </w:r>
      <w:r>
        <w:rPr>
          <w:szCs w:val="32"/>
          <w:lang w:val="zh-CN"/>
        </w:rPr>
        <w:t>直接来源于各项指标的综合表现，各章节之间形成连续衔接关系，共同构成生物质锅炉清洁燃烧评价的</w:t>
      </w:r>
      <w:proofErr w:type="gramStart"/>
      <w:r>
        <w:rPr>
          <w:szCs w:val="32"/>
          <w:lang w:val="zh-CN"/>
        </w:rPr>
        <w:t>完整技术</w:t>
      </w:r>
      <w:proofErr w:type="gramEnd"/>
      <w:r>
        <w:rPr>
          <w:szCs w:val="32"/>
          <w:lang w:val="zh-CN"/>
        </w:rPr>
        <w:t>框架。</w:t>
      </w:r>
    </w:p>
    <w:p w14:paraId="34EC94A9" w14:textId="77777777" w:rsidR="00445F8C" w:rsidRDefault="00084192" w:rsidP="00084192">
      <w:pPr>
        <w:pStyle w:val="aff6"/>
        <w:numPr>
          <w:ilvl w:val="0"/>
          <w:numId w:val="18"/>
        </w:numPr>
        <w:autoSpaceDE w:val="0"/>
        <w:autoSpaceDN w:val="0"/>
        <w:adjustRightInd w:val="0"/>
        <w:spacing w:line="560" w:lineRule="exact"/>
        <w:ind w:left="0" w:firstLine="640"/>
        <w:jc w:val="left"/>
        <w:rPr>
          <w:rFonts w:eastAsia="黑体"/>
          <w:szCs w:val="32"/>
        </w:rPr>
      </w:pPr>
      <w:r>
        <w:rPr>
          <w:rFonts w:eastAsia="黑体"/>
          <w:szCs w:val="32"/>
        </w:rPr>
        <w:t>指标选取的说明</w:t>
      </w:r>
    </w:p>
    <w:p w14:paraId="730FDA61" w14:textId="77777777" w:rsidR="00445F8C" w:rsidRDefault="00084192" w:rsidP="003910E6">
      <w:pPr>
        <w:autoSpaceDE w:val="0"/>
        <w:autoSpaceDN w:val="0"/>
        <w:adjustRightInd w:val="0"/>
        <w:spacing w:line="560" w:lineRule="exact"/>
        <w:ind w:firstLine="640"/>
        <w:rPr>
          <w:szCs w:val="32"/>
          <w:lang w:val="zh-CN"/>
        </w:rPr>
      </w:pPr>
      <w:proofErr w:type="gramStart"/>
      <w:r>
        <w:rPr>
          <w:szCs w:val="32"/>
          <w:lang w:val="zh-CN"/>
        </w:rPr>
        <w:t>本评价</w:t>
      </w:r>
      <w:proofErr w:type="gramEnd"/>
      <w:r>
        <w:rPr>
          <w:szCs w:val="32"/>
          <w:lang w:val="zh-CN"/>
        </w:rPr>
        <w:t>指标体系由一级指标和二级指标构成。根据评价指标的属性和评价方式不同，指标体系分为定量评价指标和定性评价指标两类。</w:t>
      </w:r>
    </w:p>
    <w:p w14:paraId="4239A3EA" w14:textId="77777777" w:rsidR="00445F8C" w:rsidRDefault="00084192" w:rsidP="003910E6">
      <w:pPr>
        <w:autoSpaceDE w:val="0"/>
        <w:autoSpaceDN w:val="0"/>
        <w:adjustRightInd w:val="0"/>
        <w:spacing w:line="560" w:lineRule="exact"/>
        <w:ind w:firstLine="640"/>
        <w:rPr>
          <w:szCs w:val="32"/>
          <w:lang w:val="zh-CN"/>
        </w:rPr>
      </w:pPr>
      <w:r>
        <w:rPr>
          <w:szCs w:val="32"/>
          <w:lang w:val="zh-CN"/>
        </w:rPr>
        <w:t>定量评价指标选取了能够反映生物质锅炉在安全运行、燃烧稳定性、能源与资源利用效率、污染物排放控制以及温室气体减排等方面清洁燃烧水平的关键指标，构建清洁燃烧综合评价模型。通过对各项指标的实际运行值、分级基准值及指标权重进行计算和评分，对生物质锅炉清洁燃烧水平进行综合评价，客观反映其在评价周期内的运行绩效和清洁化程度。</w:t>
      </w:r>
    </w:p>
    <w:p w14:paraId="38521868" w14:textId="77777777" w:rsidR="00445F8C" w:rsidRDefault="00084192" w:rsidP="003910E6">
      <w:pPr>
        <w:autoSpaceDE w:val="0"/>
        <w:autoSpaceDN w:val="0"/>
        <w:adjustRightInd w:val="0"/>
        <w:spacing w:line="560" w:lineRule="exact"/>
        <w:ind w:firstLine="640"/>
        <w:rPr>
          <w:szCs w:val="32"/>
          <w:lang w:val="zh-CN"/>
        </w:rPr>
      </w:pPr>
      <w:r>
        <w:rPr>
          <w:szCs w:val="32"/>
          <w:lang w:val="zh-CN"/>
        </w:rPr>
        <w:t>定性评价指标主要依据国家和地方有关生物质能源利用、锅炉运行管理、环境保护和清洁生产等政策法规、技术规范及行业发展要求设置，用于评价生物质锅炉在运行管理、装备配置、自动化与监测体系建设以及相关制度落实等方面的符合性和实施</w:t>
      </w:r>
      <w:r>
        <w:rPr>
          <w:szCs w:val="32"/>
          <w:lang w:val="zh-CN"/>
        </w:rPr>
        <w:lastRenderedPageBreak/>
        <w:t>情况。</w:t>
      </w:r>
    </w:p>
    <w:p w14:paraId="407F23CD" w14:textId="77777777" w:rsidR="00445F8C" w:rsidRDefault="00084192">
      <w:pPr>
        <w:autoSpaceDE w:val="0"/>
        <w:autoSpaceDN w:val="0"/>
        <w:adjustRightInd w:val="0"/>
        <w:spacing w:line="560" w:lineRule="exact"/>
        <w:ind w:firstLine="640"/>
        <w:jc w:val="left"/>
        <w:rPr>
          <w:rFonts w:eastAsia="黑体"/>
          <w:szCs w:val="32"/>
        </w:rPr>
      </w:pPr>
      <w:r>
        <w:rPr>
          <w:szCs w:val="32"/>
          <w:lang w:val="zh-CN"/>
        </w:rPr>
        <w:t>参照《清洁生产评价指标体系编制通则》（</w:t>
      </w:r>
      <w:r>
        <w:rPr>
          <w:szCs w:val="32"/>
          <w:lang w:val="zh-CN"/>
        </w:rPr>
        <w:t>GB/T 43329-2023</w:t>
      </w:r>
      <w:r>
        <w:rPr>
          <w:szCs w:val="32"/>
          <w:lang w:val="zh-CN"/>
        </w:rPr>
        <w:t>），并结合我国生物质锅炉行业运行特征和工程实践，</w:t>
      </w:r>
      <w:proofErr w:type="gramStart"/>
      <w:r>
        <w:rPr>
          <w:szCs w:val="32"/>
          <w:lang w:val="zh-CN"/>
        </w:rPr>
        <w:t>本评价</w:t>
      </w:r>
      <w:proofErr w:type="gramEnd"/>
      <w:r>
        <w:rPr>
          <w:szCs w:val="32"/>
          <w:lang w:val="zh-CN"/>
        </w:rPr>
        <w:t>指标体系设置了生产工艺和装备、能源消耗、水资源消耗、原</w:t>
      </w:r>
      <w:r>
        <w:rPr>
          <w:szCs w:val="32"/>
          <w:lang w:val="zh-CN"/>
        </w:rPr>
        <w:t>/</w:t>
      </w:r>
      <w:r>
        <w:rPr>
          <w:szCs w:val="32"/>
          <w:lang w:val="zh-CN"/>
        </w:rPr>
        <w:t>辅料资源消耗、综合利用率及可靠性、大气排放和温室气体排放等一级指标，从燃烧过程、运行性能和环境绩效等多个维度对生物质锅炉清洁燃烧水平进行系统评价。</w:t>
      </w:r>
    </w:p>
    <w:p w14:paraId="688D3707" w14:textId="77777777" w:rsidR="00445F8C" w:rsidRDefault="00084192" w:rsidP="00084192">
      <w:pPr>
        <w:pStyle w:val="aff6"/>
        <w:numPr>
          <w:ilvl w:val="0"/>
          <w:numId w:val="18"/>
        </w:numPr>
        <w:autoSpaceDE w:val="0"/>
        <w:autoSpaceDN w:val="0"/>
        <w:adjustRightInd w:val="0"/>
        <w:spacing w:line="560" w:lineRule="exact"/>
        <w:ind w:left="0" w:firstLine="640"/>
        <w:jc w:val="left"/>
        <w:rPr>
          <w:rFonts w:eastAsia="黑体"/>
          <w:szCs w:val="32"/>
        </w:rPr>
      </w:pPr>
      <w:r>
        <w:rPr>
          <w:rFonts w:eastAsia="黑体"/>
          <w:szCs w:val="32"/>
        </w:rPr>
        <w:t>指标基准值及说明</w:t>
      </w:r>
    </w:p>
    <w:p w14:paraId="1046861F" w14:textId="2E0E218C" w:rsidR="00E70912" w:rsidRDefault="00084192">
      <w:pPr>
        <w:pStyle w:val="aff6"/>
        <w:autoSpaceDE w:val="0"/>
        <w:autoSpaceDN w:val="0"/>
        <w:adjustRightInd w:val="0"/>
        <w:spacing w:line="560" w:lineRule="exact"/>
        <w:ind w:firstLine="640"/>
        <w:jc w:val="left"/>
      </w:pPr>
      <w:r>
        <w:t>各指标的评价基准值是衡量该项指标是否符合清洁生产基本要求的评价基准。指标基准值在对标现行国家标准、行业标准和相关技术规范要求的基础上，结合生物质锅炉工程运行实践，按照</w:t>
      </w:r>
      <w:r>
        <w:rPr>
          <w:rFonts w:ascii="宋体" w:eastAsia="宋体" w:hAnsi="宋体" w:cs="宋体" w:hint="eastAsia"/>
        </w:rPr>
        <w:t>Ⅲ</w:t>
      </w:r>
      <w:r>
        <w:t>级（达到清洁燃烧</w:t>
      </w:r>
      <w:r w:rsidR="003910E6">
        <w:rPr>
          <w:rFonts w:hint="eastAsia"/>
        </w:rPr>
        <w:t>一般水平</w:t>
      </w:r>
      <w:r>
        <w:t>）、</w:t>
      </w:r>
      <w:r>
        <w:rPr>
          <w:rFonts w:ascii="宋体" w:eastAsia="宋体" w:hAnsi="宋体" w:cs="宋体" w:hint="eastAsia"/>
        </w:rPr>
        <w:t>Ⅱ</w:t>
      </w:r>
      <w:r>
        <w:t>级（</w:t>
      </w:r>
      <w:r w:rsidR="003910E6">
        <w:t>达到</w:t>
      </w:r>
      <w:r>
        <w:t>清洁燃烧水平</w:t>
      </w:r>
      <w:r w:rsidR="003910E6">
        <w:rPr>
          <w:rFonts w:hint="eastAsia"/>
        </w:rPr>
        <w:t>准入水平</w:t>
      </w:r>
      <w:r>
        <w:t>）和</w:t>
      </w:r>
      <w:r>
        <w:rPr>
          <w:rFonts w:ascii="宋体" w:eastAsia="宋体" w:hAnsi="宋体" w:cs="宋体" w:hint="eastAsia"/>
        </w:rPr>
        <w:t>Ⅰ</w:t>
      </w:r>
      <w:r>
        <w:t>级（</w:t>
      </w:r>
      <w:r w:rsidR="003910E6">
        <w:t>达到</w:t>
      </w:r>
      <w:r>
        <w:t>清洁燃烧</w:t>
      </w:r>
      <w:r w:rsidR="003910E6">
        <w:rPr>
          <w:rFonts w:hint="eastAsia"/>
        </w:rPr>
        <w:t>先进水平</w:t>
      </w:r>
      <w:r>
        <w:t>）分级设定。</w:t>
      </w:r>
      <w:r w:rsidR="00E70912" w:rsidRPr="00E70912">
        <w:rPr>
          <w:rFonts w:hint="eastAsia"/>
        </w:rPr>
        <w:t>具体基准值的确定依据如下</w:t>
      </w:r>
      <w:r>
        <w:t>：</w:t>
      </w:r>
      <w:r w:rsidR="00E70912" w:rsidRPr="00E70912">
        <w:t>对于国家或行业已有明确要求的强制性标准，选用其规定的数值</w:t>
      </w:r>
      <w:r w:rsidR="00E70912">
        <w:rPr>
          <w:rFonts w:hint="eastAsia"/>
        </w:rPr>
        <w:t>或描述</w:t>
      </w:r>
      <w:r w:rsidR="00E70912" w:rsidRPr="00E70912">
        <w:t>作为</w:t>
      </w:r>
      <w:r w:rsidR="00E70912" w:rsidRPr="00E70912">
        <w:rPr>
          <w:rFonts w:asciiTheme="minorEastAsia" w:eastAsiaTheme="minorEastAsia" w:hAnsiTheme="minorEastAsia"/>
        </w:rPr>
        <w:t>Ⅲ</w:t>
      </w:r>
      <w:r w:rsidR="00E70912" w:rsidRPr="00E70912">
        <w:t>级基准值；对于国家或行业未明确要求，或生物质锅炉仅有</w:t>
      </w:r>
      <w:r w:rsidR="00E70912">
        <w:rPr>
          <w:rFonts w:hint="eastAsia"/>
        </w:rPr>
        <w:t>参照执行</w:t>
      </w:r>
      <w:r w:rsidR="00E70912" w:rsidRPr="00E70912">
        <w:t>的指标，则通过广西壮族自治区的实地调研，结合典型生物质锅炉近年可达的平均水平，综合确定</w:t>
      </w:r>
      <w:r w:rsidR="00E70912" w:rsidRPr="00E70912">
        <w:rPr>
          <w:rFonts w:asciiTheme="minorEastAsia" w:eastAsiaTheme="minorEastAsia" w:hAnsiTheme="minorEastAsia"/>
        </w:rPr>
        <w:t>Ⅱ</w:t>
      </w:r>
      <w:r w:rsidR="00E70912" w:rsidRPr="00E70912">
        <w:t>级和</w:t>
      </w:r>
      <w:r w:rsidR="00E70912" w:rsidRPr="00E70912">
        <w:rPr>
          <w:rFonts w:asciiTheme="minorEastAsia" w:eastAsiaTheme="minorEastAsia" w:hAnsiTheme="minorEastAsia"/>
        </w:rPr>
        <w:t>Ⅰ</w:t>
      </w:r>
      <w:r w:rsidR="00E70912" w:rsidRPr="00E70912">
        <w:t>级基准值。</w:t>
      </w:r>
    </w:p>
    <w:p w14:paraId="6A67C6A8" w14:textId="55284769" w:rsidR="00E71678" w:rsidRDefault="00E71678">
      <w:pPr>
        <w:pStyle w:val="aff6"/>
        <w:autoSpaceDE w:val="0"/>
        <w:autoSpaceDN w:val="0"/>
        <w:adjustRightInd w:val="0"/>
        <w:spacing w:line="560" w:lineRule="exact"/>
        <w:ind w:firstLine="640"/>
        <w:jc w:val="left"/>
      </w:pPr>
      <w:r w:rsidRPr="00E71678">
        <w:t>生物质锅炉清洁燃烧的评价应以企业年报、统计期的统计数据或实际监测数据为依据。污染物的采样和监测应按照相关技术规范执行，并采用国家、地方或行业标准等规定的监测分析方法。本标准规定的颗粒物、氮氧化物、二氧化硫、一氧化碳、氨逃逸、汞及其化合物等污染物排放浓度，均为在标准状态下、按规定基准氧含量（干烟气）换算后的排放浓度。具体基准氧含量取值如</w:t>
      </w:r>
      <w:r w:rsidRPr="00E71678">
        <w:lastRenderedPageBreak/>
        <w:t>下：对于蒸汽锅炉，额定蒸发量不大于</w:t>
      </w:r>
      <w:r w:rsidRPr="00E71678">
        <w:t xml:space="preserve"> 65 t/h </w:t>
      </w:r>
      <w:r w:rsidRPr="00E71678">
        <w:t>时取</w:t>
      </w:r>
      <w:r w:rsidRPr="00E71678">
        <w:t xml:space="preserve"> 9%</w:t>
      </w:r>
      <w:r w:rsidRPr="00E71678">
        <w:t>，大于</w:t>
      </w:r>
      <w:r w:rsidRPr="00E71678">
        <w:t xml:space="preserve"> 65 t/h </w:t>
      </w:r>
      <w:r w:rsidRPr="00E71678">
        <w:t>时取</w:t>
      </w:r>
      <w:r w:rsidRPr="00E71678">
        <w:t xml:space="preserve"> 6%</w:t>
      </w:r>
      <w:r w:rsidRPr="00E71678">
        <w:t>；对于热水锅炉和有机热载体锅炉，基准氧含量取</w:t>
      </w:r>
      <w:r w:rsidRPr="00E71678">
        <w:t xml:space="preserve"> 9%</w:t>
      </w:r>
      <w:r w:rsidRPr="00E71678">
        <w:t>。</w:t>
      </w:r>
    </w:p>
    <w:p w14:paraId="63763F5D" w14:textId="77777777" w:rsidR="00445F8C" w:rsidRDefault="00084192">
      <w:pPr>
        <w:autoSpaceDE w:val="0"/>
        <w:autoSpaceDN w:val="0"/>
        <w:adjustRightInd w:val="0"/>
        <w:spacing w:line="560" w:lineRule="exact"/>
        <w:ind w:firstLine="640"/>
        <w:jc w:val="left"/>
        <w:rPr>
          <w:rFonts w:eastAsia="黑体"/>
          <w:szCs w:val="32"/>
        </w:rPr>
      </w:pPr>
      <w:r>
        <w:rPr>
          <w:rFonts w:eastAsia="黑体"/>
          <w:szCs w:val="32"/>
        </w:rPr>
        <w:t>1</w:t>
      </w:r>
      <w:r>
        <w:rPr>
          <w:rFonts w:eastAsia="黑体"/>
          <w:szCs w:val="32"/>
        </w:rPr>
        <w:t>、生产工艺和装备指标</w:t>
      </w:r>
    </w:p>
    <w:p w14:paraId="4A69B8B0" w14:textId="77777777" w:rsidR="00445F8C" w:rsidRDefault="00084192">
      <w:pPr>
        <w:autoSpaceDE w:val="0"/>
        <w:autoSpaceDN w:val="0"/>
        <w:adjustRightInd w:val="0"/>
        <w:spacing w:line="560" w:lineRule="exact"/>
        <w:ind w:firstLine="640"/>
        <w:rPr>
          <w:szCs w:val="32"/>
          <w:lang w:val="zh-CN"/>
        </w:rPr>
      </w:pPr>
      <w:r>
        <w:rPr>
          <w:szCs w:val="32"/>
          <w:lang w:val="zh-CN"/>
        </w:rPr>
        <w:t>本标准</w:t>
      </w:r>
      <w:r>
        <w:rPr>
          <w:szCs w:val="32"/>
          <w:lang w:val="zh-CN"/>
        </w:rPr>
        <w:t>“</w:t>
      </w:r>
      <w:r>
        <w:rPr>
          <w:szCs w:val="32"/>
          <w:lang w:val="zh-CN"/>
        </w:rPr>
        <w:t>生产工艺和装备</w:t>
      </w:r>
      <w:r>
        <w:rPr>
          <w:szCs w:val="32"/>
          <w:lang w:val="zh-CN"/>
        </w:rPr>
        <w:t>”</w:t>
      </w:r>
      <w:r>
        <w:rPr>
          <w:szCs w:val="32"/>
          <w:lang w:val="zh-CN"/>
        </w:rPr>
        <w:t>一级指标，围绕生物质锅炉清洁燃烧过程中燃烧工艺适配性、装备配置合理性、污染治理系统匹配性以及运行可靠性等关键工程要素设置。其中：</w:t>
      </w:r>
    </w:p>
    <w:p w14:paraId="54DF12F9" w14:textId="77777777" w:rsidR="00445F8C" w:rsidRDefault="00084192">
      <w:pPr>
        <w:autoSpaceDE w:val="0"/>
        <w:autoSpaceDN w:val="0"/>
        <w:adjustRightInd w:val="0"/>
        <w:spacing w:line="560" w:lineRule="exact"/>
        <w:ind w:firstLine="640"/>
        <w:rPr>
          <w:szCs w:val="32"/>
          <w:lang w:val="zh-CN"/>
        </w:rPr>
      </w:pPr>
      <w:r>
        <w:rPr>
          <w:szCs w:val="32"/>
          <w:lang w:val="zh-CN"/>
        </w:rPr>
        <w:t>生产工艺中，采用生物质清洁燃料主流技术应包括符合国标（</w:t>
      </w:r>
      <w:r>
        <w:rPr>
          <w:szCs w:val="32"/>
          <w:lang w:val="zh-CN"/>
        </w:rPr>
        <w:t>GB/T 44906-2024</w:t>
      </w:r>
      <w:r>
        <w:rPr>
          <w:szCs w:val="32"/>
          <w:lang w:val="zh-CN"/>
        </w:rPr>
        <w:t>）对生物质燃烧锅炉技术规范的要求，应配备后续余热利用和烟气净化装置，实际运行过程中生产负荷应在</w:t>
      </w:r>
      <w:r>
        <w:rPr>
          <w:szCs w:val="32"/>
          <w:lang w:val="zh-CN"/>
        </w:rPr>
        <w:t>70</w:t>
      </w:r>
      <w:r>
        <w:rPr>
          <w:szCs w:val="32"/>
          <w:lang w:val="zh-CN"/>
        </w:rPr>
        <w:t>％</w:t>
      </w:r>
      <w:r>
        <w:rPr>
          <w:szCs w:val="32"/>
          <w:lang w:val="zh-CN"/>
        </w:rPr>
        <w:t>~110</w:t>
      </w:r>
      <w:r>
        <w:rPr>
          <w:szCs w:val="32"/>
          <w:lang w:val="zh-CN"/>
        </w:rPr>
        <w:t>％之间，并实现常态</w:t>
      </w:r>
      <w:proofErr w:type="gramStart"/>
      <w:r>
        <w:rPr>
          <w:szCs w:val="32"/>
          <w:lang w:val="zh-CN"/>
        </w:rPr>
        <w:t>化安全</w:t>
      </w:r>
      <w:proofErr w:type="gramEnd"/>
      <w:r>
        <w:rPr>
          <w:szCs w:val="32"/>
          <w:lang w:val="zh-CN"/>
        </w:rPr>
        <w:t>可靠运行。</w:t>
      </w:r>
    </w:p>
    <w:p w14:paraId="0D4C0EE7" w14:textId="0A0012DF" w:rsidR="00652937" w:rsidRDefault="00084192">
      <w:pPr>
        <w:autoSpaceDE w:val="0"/>
        <w:autoSpaceDN w:val="0"/>
        <w:adjustRightInd w:val="0"/>
        <w:spacing w:line="560" w:lineRule="exact"/>
        <w:ind w:firstLine="640"/>
        <w:rPr>
          <w:szCs w:val="32"/>
          <w:lang w:val="zh-CN"/>
        </w:rPr>
      </w:pPr>
      <w:r>
        <w:rPr>
          <w:szCs w:val="32"/>
          <w:lang w:val="zh-CN"/>
        </w:rPr>
        <w:t>在燃烧工艺与锅炉本体性能方面，设计锅炉总热效率作为反映燃烧效率的核心指标，依据《生物质锅炉技术规范》（</w:t>
      </w:r>
      <w:r>
        <w:rPr>
          <w:szCs w:val="32"/>
          <w:lang w:val="zh-CN"/>
        </w:rPr>
        <w:t>GB/T 44906-2024</w:t>
      </w:r>
      <w:r>
        <w:rPr>
          <w:szCs w:val="32"/>
          <w:lang w:val="zh-CN"/>
        </w:rPr>
        <w:t>）及相关热工性能评价要求，按锅炉炉型分类设定分级</w:t>
      </w:r>
      <w:r w:rsidR="00652937">
        <w:rPr>
          <w:rFonts w:hint="eastAsia"/>
          <w:szCs w:val="32"/>
          <w:lang w:val="zh-CN"/>
        </w:rPr>
        <w:t>。根据调研</w:t>
      </w:r>
    </w:p>
    <w:p w14:paraId="38896936" w14:textId="6263E82B" w:rsidR="00652937" w:rsidRDefault="00652937" w:rsidP="00652937">
      <w:pPr>
        <w:autoSpaceDE w:val="0"/>
        <w:autoSpaceDN w:val="0"/>
        <w:adjustRightInd w:val="0"/>
        <w:spacing w:line="560" w:lineRule="exact"/>
        <w:ind w:firstLineChars="0" w:firstLine="0"/>
        <w:jc w:val="center"/>
        <w:rPr>
          <w:sz w:val="24"/>
          <w:szCs w:val="28"/>
        </w:rPr>
      </w:pPr>
      <w:r>
        <w:rPr>
          <w:sz w:val="28"/>
          <w:szCs w:val="28"/>
        </w:rPr>
        <w:t>表</w:t>
      </w:r>
      <w:r>
        <w:rPr>
          <w:rFonts w:hint="eastAsia"/>
          <w:sz w:val="28"/>
          <w:szCs w:val="28"/>
        </w:rPr>
        <w:t>5</w:t>
      </w:r>
      <w:r>
        <w:rPr>
          <w:sz w:val="28"/>
          <w:szCs w:val="28"/>
        </w:rPr>
        <w:t xml:space="preserve"> </w:t>
      </w:r>
      <w:r>
        <w:rPr>
          <w:rFonts w:hint="eastAsia"/>
          <w:sz w:val="28"/>
          <w:szCs w:val="28"/>
        </w:rPr>
        <w:t>编制组调研</w:t>
      </w:r>
      <w:r w:rsidRPr="000524F4">
        <w:rPr>
          <w:sz w:val="28"/>
          <w:szCs w:val="28"/>
        </w:rPr>
        <w:t>生物质锅炉</w:t>
      </w:r>
      <w:r>
        <w:rPr>
          <w:rFonts w:hint="eastAsia"/>
          <w:sz w:val="28"/>
          <w:szCs w:val="28"/>
        </w:rPr>
        <w:t>炉型及基本生产条件</w:t>
      </w:r>
    </w:p>
    <w:tbl>
      <w:tblPr>
        <w:tblStyle w:val="GridTableLight"/>
        <w:tblW w:w="779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1403"/>
        <w:gridCol w:w="1843"/>
        <w:gridCol w:w="1559"/>
        <w:gridCol w:w="1573"/>
      </w:tblGrid>
      <w:tr w:rsidR="00652937" w14:paraId="72AC9A0F" w14:textId="26B77702" w:rsidTr="00C6484A">
        <w:trPr>
          <w:trHeight w:val="397"/>
          <w:jc w:val="center"/>
        </w:trPr>
        <w:tc>
          <w:tcPr>
            <w:tcW w:w="1418" w:type="dxa"/>
            <w:tcBorders>
              <w:top w:val="single" w:sz="12" w:space="0" w:color="auto"/>
              <w:bottom w:val="single" w:sz="8" w:space="0" w:color="auto"/>
            </w:tcBorders>
            <w:vAlign w:val="center"/>
          </w:tcPr>
          <w:p w14:paraId="0A9608D3" w14:textId="7B3E8BC7" w:rsidR="00652937" w:rsidRPr="00323207" w:rsidRDefault="00652937" w:rsidP="00652937">
            <w:pPr>
              <w:pStyle w:val="TableText"/>
              <w:spacing w:line="360" w:lineRule="exact"/>
              <w:jc w:val="center"/>
              <w:rPr>
                <w:rFonts w:ascii="Times New Roman" w:eastAsia="仿宋_GB2312" w:hAnsi="Times New Roman" w:cs="Times New Roman"/>
                <w:color w:val="auto"/>
                <w:sz w:val="24"/>
                <w:szCs w:val="24"/>
                <w:lang w:eastAsia="zh-CN"/>
              </w:rPr>
            </w:pPr>
          </w:p>
        </w:tc>
        <w:tc>
          <w:tcPr>
            <w:tcW w:w="1403" w:type="dxa"/>
            <w:tcBorders>
              <w:top w:val="single" w:sz="12" w:space="0" w:color="auto"/>
              <w:bottom w:val="single" w:sz="8" w:space="0" w:color="auto"/>
            </w:tcBorders>
            <w:vAlign w:val="center"/>
          </w:tcPr>
          <w:p w14:paraId="38DD2FB7" w14:textId="7E7A299C" w:rsidR="00652937" w:rsidRPr="00323207"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炉型</w:t>
            </w:r>
          </w:p>
        </w:tc>
        <w:tc>
          <w:tcPr>
            <w:tcW w:w="1843" w:type="dxa"/>
            <w:tcBorders>
              <w:top w:val="single" w:sz="12" w:space="0" w:color="auto"/>
              <w:bottom w:val="single" w:sz="8" w:space="0" w:color="auto"/>
            </w:tcBorders>
          </w:tcPr>
          <w:p w14:paraId="187C47A4" w14:textId="2201B3A2" w:rsidR="00652937" w:rsidRPr="00652937"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sidRPr="00652937">
              <w:rPr>
                <w:rFonts w:ascii="Times New Roman" w:eastAsia="仿宋_GB2312" w:hAnsi="Times New Roman" w:cs="Times New Roman" w:hint="eastAsia"/>
                <w:color w:val="auto"/>
                <w:spacing w:val="-11"/>
                <w:sz w:val="24"/>
                <w:szCs w:val="24"/>
                <w:lang w:eastAsia="zh-CN"/>
              </w:rPr>
              <w:t>额定负荷（</w:t>
            </w:r>
            <w:r w:rsidRPr="00652937">
              <w:rPr>
                <w:rFonts w:ascii="Times New Roman" w:eastAsia="仿宋_GB2312" w:hAnsi="Times New Roman" w:cs="Times New Roman" w:hint="eastAsia"/>
                <w:color w:val="auto"/>
                <w:spacing w:val="-11"/>
                <w:sz w:val="24"/>
                <w:szCs w:val="24"/>
                <w:lang w:eastAsia="zh-CN"/>
              </w:rPr>
              <w:t>t/h</w:t>
            </w:r>
            <w:r w:rsidRPr="00652937">
              <w:rPr>
                <w:rFonts w:ascii="Times New Roman" w:eastAsia="仿宋_GB2312" w:hAnsi="Times New Roman" w:cs="Times New Roman" w:hint="eastAsia"/>
                <w:color w:val="auto"/>
                <w:spacing w:val="-11"/>
                <w:sz w:val="24"/>
                <w:szCs w:val="24"/>
                <w:lang w:eastAsia="zh-CN"/>
              </w:rPr>
              <w:t>）</w:t>
            </w:r>
          </w:p>
        </w:tc>
        <w:tc>
          <w:tcPr>
            <w:tcW w:w="1559" w:type="dxa"/>
            <w:tcBorders>
              <w:top w:val="single" w:sz="12" w:space="0" w:color="auto"/>
              <w:bottom w:val="single" w:sz="8" w:space="0" w:color="auto"/>
            </w:tcBorders>
          </w:tcPr>
          <w:p w14:paraId="72D50EFB" w14:textId="003F141F" w:rsidR="00652937" w:rsidRPr="00652937"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sidRPr="00652937">
              <w:rPr>
                <w:rFonts w:ascii="Times New Roman" w:eastAsia="仿宋_GB2312" w:hAnsi="Times New Roman" w:cs="Times New Roman" w:hint="eastAsia"/>
                <w:color w:val="auto"/>
                <w:spacing w:val="-11"/>
                <w:sz w:val="24"/>
                <w:szCs w:val="24"/>
                <w:lang w:eastAsia="zh-CN"/>
              </w:rPr>
              <w:t>生产负荷（</w:t>
            </w:r>
            <w:r w:rsidR="00FD55D0">
              <w:rPr>
                <w:rFonts w:ascii="Times New Roman" w:eastAsia="仿宋_GB2312" w:hAnsi="Times New Roman" w:cs="Times New Roman" w:hint="eastAsia"/>
                <w:color w:val="auto"/>
                <w:spacing w:val="-11"/>
                <w:sz w:val="24"/>
                <w:szCs w:val="24"/>
                <w:lang w:eastAsia="zh-CN"/>
              </w:rPr>
              <w:t>%</w:t>
            </w:r>
            <w:r w:rsidRPr="00652937">
              <w:rPr>
                <w:rFonts w:ascii="Times New Roman" w:eastAsia="仿宋_GB2312" w:hAnsi="Times New Roman" w:cs="Times New Roman" w:hint="eastAsia"/>
                <w:color w:val="auto"/>
                <w:spacing w:val="-11"/>
                <w:sz w:val="24"/>
                <w:szCs w:val="24"/>
                <w:lang w:eastAsia="zh-CN"/>
              </w:rPr>
              <w:t>）</w:t>
            </w:r>
          </w:p>
        </w:tc>
        <w:tc>
          <w:tcPr>
            <w:tcW w:w="1573" w:type="dxa"/>
            <w:tcBorders>
              <w:top w:val="single" w:sz="12" w:space="0" w:color="auto"/>
              <w:bottom w:val="single" w:sz="8" w:space="0" w:color="auto"/>
            </w:tcBorders>
          </w:tcPr>
          <w:p w14:paraId="0E4E3FD1" w14:textId="47654F75" w:rsidR="00652937" w:rsidRPr="00652937"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sidRPr="00652937">
              <w:rPr>
                <w:rFonts w:ascii="Times New Roman" w:eastAsia="仿宋_GB2312" w:hAnsi="Times New Roman" w:cs="Times New Roman" w:hint="eastAsia"/>
                <w:color w:val="auto"/>
                <w:spacing w:val="-11"/>
                <w:sz w:val="24"/>
                <w:szCs w:val="24"/>
                <w:lang w:eastAsia="zh-CN"/>
              </w:rPr>
              <w:t>热效率</w:t>
            </w:r>
            <w:r w:rsidR="00FD55D0">
              <w:rPr>
                <w:rFonts w:ascii="Times New Roman" w:eastAsia="仿宋_GB2312" w:hAnsi="Times New Roman" w:cs="Times New Roman" w:hint="eastAsia"/>
                <w:color w:val="auto"/>
                <w:spacing w:val="-11"/>
                <w:sz w:val="24"/>
                <w:szCs w:val="24"/>
                <w:lang w:eastAsia="zh-CN"/>
              </w:rPr>
              <w:t>（</w:t>
            </w:r>
            <w:r w:rsidR="00FD55D0">
              <w:rPr>
                <w:rFonts w:ascii="Times New Roman" w:eastAsia="仿宋_GB2312" w:hAnsi="Times New Roman" w:cs="Times New Roman" w:hint="eastAsia"/>
                <w:color w:val="auto"/>
                <w:spacing w:val="-11"/>
                <w:sz w:val="24"/>
                <w:szCs w:val="24"/>
                <w:lang w:eastAsia="zh-CN"/>
              </w:rPr>
              <w:t>%</w:t>
            </w:r>
            <w:r w:rsidR="00FD55D0">
              <w:rPr>
                <w:rFonts w:ascii="Times New Roman" w:eastAsia="仿宋_GB2312" w:hAnsi="Times New Roman" w:cs="Times New Roman" w:hint="eastAsia"/>
                <w:color w:val="auto"/>
                <w:spacing w:val="-11"/>
                <w:sz w:val="24"/>
                <w:szCs w:val="24"/>
                <w:lang w:eastAsia="zh-CN"/>
              </w:rPr>
              <w:t>）</w:t>
            </w:r>
          </w:p>
        </w:tc>
      </w:tr>
      <w:tr w:rsidR="00652937" w14:paraId="42BF2494" w14:textId="0327585A" w:rsidTr="00C6484A">
        <w:trPr>
          <w:trHeight w:val="222"/>
          <w:jc w:val="center"/>
        </w:trPr>
        <w:tc>
          <w:tcPr>
            <w:tcW w:w="1418" w:type="dxa"/>
            <w:vMerge w:val="restart"/>
            <w:tcBorders>
              <w:top w:val="single" w:sz="8" w:space="0" w:color="auto"/>
            </w:tcBorders>
            <w:vAlign w:val="center"/>
          </w:tcPr>
          <w:p w14:paraId="629F1A6C" w14:textId="07AE7992" w:rsidR="00652937" w:rsidRPr="00323207" w:rsidRDefault="00652937" w:rsidP="00084192">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企业</w:t>
            </w:r>
            <w:r>
              <w:rPr>
                <w:rFonts w:ascii="Times New Roman" w:eastAsia="仿宋_GB2312" w:hAnsi="Times New Roman" w:cs="Times New Roman" w:hint="eastAsia"/>
                <w:color w:val="auto"/>
                <w:spacing w:val="-11"/>
                <w:sz w:val="24"/>
                <w:szCs w:val="24"/>
                <w:lang w:eastAsia="zh-CN"/>
              </w:rPr>
              <w:t>1</w:t>
            </w:r>
          </w:p>
        </w:tc>
        <w:tc>
          <w:tcPr>
            <w:tcW w:w="1403" w:type="dxa"/>
            <w:tcBorders>
              <w:top w:val="single" w:sz="8" w:space="0" w:color="auto"/>
            </w:tcBorders>
            <w:vAlign w:val="center"/>
          </w:tcPr>
          <w:p w14:paraId="7F8DEE5C" w14:textId="22ECE761"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流化床</w:t>
            </w:r>
          </w:p>
        </w:tc>
        <w:tc>
          <w:tcPr>
            <w:tcW w:w="1843" w:type="dxa"/>
            <w:tcBorders>
              <w:top w:val="single" w:sz="8" w:space="0" w:color="auto"/>
            </w:tcBorders>
            <w:vAlign w:val="center"/>
          </w:tcPr>
          <w:p w14:paraId="02FE41BA" w14:textId="7083ACD5"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180</w:t>
            </w:r>
          </w:p>
        </w:tc>
        <w:tc>
          <w:tcPr>
            <w:tcW w:w="1559" w:type="dxa"/>
            <w:tcBorders>
              <w:top w:val="single" w:sz="8" w:space="0" w:color="auto"/>
            </w:tcBorders>
            <w:vAlign w:val="center"/>
          </w:tcPr>
          <w:p w14:paraId="6F2C2B40" w14:textId="2F60650A"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88</w:t>
            </w:r>
          </w:p>
        </w:tc>
        <w:tc>
          <w:tcPr>
            <w:tcW w:w="1573" w:type="dxa"/>
            <w:tcBorders>
              <w:top w:val="single" w:sz="8" w:space="0" w:color="auto"/>
            </w:tcBorders>
            <w:vAlign w:val="center"/>
          </w:tcPr>
          <w:p w14:paraId="027D1819" w14:textId="2C2F6A73"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86.6</w:t>
            </w:r>
          </w:p>
        </w:tc>
      </w:tr>
      <w:tr w:rsidR="00652937" w14:paraId="06CC4436" w14:textId="77777777" w:rsidTr="00C6484A">
        <w:trPr>
          <w:trHeight w:val="221"/>
          <w:jc w:val="center"/>
        </w:trPr>
        <w:tc>
          <w:tcPr>
            <w:tcW w:w="1418" w:type="dxa"/>
            <w:vMerge/>
            <w:vAlign w:val="center"/>
          </w:tcPr>
          <w:p w14:paraId="120E4238" w14:textId="77777777" w:rsidR="00652937" w:rsidRDefault="00652937" w:rsidP="00084192">
            <w:pPr>
              <w:pStyle w:val="TableText"/>
              <w:spacing w:line="360" w:lineRule="exact"/>
              <w:jc w:val="center"/>
              <w:rPr>
                <w:rFonts w:ascii="Times New Roman" w:eastAsia="仿宋_GB2312" w:hAnsi="Times New Roman" w:cs="Times New Roman"/>
                <w:color w:val="auto"/>
                <w:spacing w:val="-11"/>
                <w:sz w:val="24"/>
                <w:szCs w:val="24"/>
                <w:lang w:eastAsia="zh-CN"/>
              </w:rPr>
            </w:pPr>
          </w:p>
        </w:tc>
        <w:tc>
          <w:tcPr>
            <w:tcW w:w="1403" w:type="dxa"/>
            <w:vAlign w:val="center"/>
          </w:tcPr>
          <w:p w14:paraId="45763AD1" w14:textId="2F30133A"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流化床</w:t>
            </w:r>
          </w:p>
        </w:tc>
        <w:tc>
          <w:tcPr>
            <w:tcW w:w="1843" w:type="dxa"/>
            <w:vAlign w:val="center"/>
          </w:tcPr>
          <w:p w14:paraId="63BB312D" w14:textId="02286555"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75</w:t>
            </w:r>
          </w:p>
        </w:tc>
        <w:tc>
          <w:tcPr>
            <w:tcW w:w="1559" w:type="dxa"/>
            <w:vAlign w:val="center"/>
          </w:tcPr>
          <w:p w14:paraId="1F5A6F9B" w14:textId="1B15E4C0"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80</w:t>
            </w:r>
          </w:p>
        </w:tc>
        <w:tc>
          <w:tcPr>
            <w:tcW w:w="1573" w:type="dxa"/>
            <w:vAlign w:val="center"/>
          </w:tcPr>
          <w:p w14:paraId="480F1CAF" w14:textId="362F38AF"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84.2</w:t>
            </w:r>
          </w:p>
        </w:tc>
      </w:tr>
      <w:tr w:rsidR="00652937" w14:paraId="0A967A39" w14:textId="072813EB" w:rsidTr="00C6484A">
        <w:trPr>
          <w:trHeight w:val="222"/>
          <w:jc w:val="center"/>
        </w:trPr>
        <w:tc>
          <w:tcPr>
            <w:tcW w:w="1418" w:type="dxa"/>
            <w:vMerge w:val="restart"/>
            <w:vAlign w:val="center"/>
          </w:tcPr>
          <w:p w14:paraId="39EB2319" w14:textId="45FD5B56" w:rsidR="00652937" w:rsidRPr="00323207" w:rsidRDefault="00652937" w:rsidP="00084192">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企业</w:t>
            </w:r>
            <w:r>
              <w:rPr>
                <w:rFonts w:ascii="Times New Roman" w:eastAsia="仿宋_GB2312" w:hAnsi="Times New Roman" w:cs="Times New Roman" w:hint="eastAsia"/>
                <w:color w:val="auto"/>
                <w:spacing w:val="-11"/>
                <w:sz w:val="24"/>
                <w:szCs w:val="24"/>
                <w:lang w:eastAsia="zh-CN"/>
              </w:rPr>
              <w:t>2</w:t>
            </w:r>
          </w:p>
        </w:tc>
        <w:tc>
          <w:tcPr>
            <w:tcW w:w="1403" w:type="dxa"/>
            <w:vAlign w:val="center"/>
          </w:tcPr>
          <w:p w14:paraId="491FA7A3" w14:textId="625E530A"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流化床</w:t>
            </w:r>
          </w:p>
        </w:tc>
        <w:tc>
          <w:tcPr>
            <w:tcW w:w="1843" w:type="dxa"/>
            <w:vAlign w:val="center"/>
          </w:tcPr>
          <w:p w14:paraId="5E6EF69F" w14:textId="186E9B2D"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90</w:t>
            </w:r>
          </w:p>
        </w:tc>
        <w:tc>
          <w:tcPr>
            <w:tcW w:w="1559" w:type="dxa"/>
            <w:vAlign w:val="center"/>
          </w:tcPr>
          <w:p w14:paraId="61F82CDE" w14:textId="01B18D92"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75</w:t>
            </w:r>
          </w:p>
        </w:tc>
        <w:tc>
          <w:tcPr>
            <w:tcW w:w="1573" w:type="dxa"/>
            <w:vAlign w:val="center"/>
          </w:tcPr>
          <w:p w14:paraId="14D2A5D6" w14:textId="33C0A4AD"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84.2</w:t>
            </w:r>
          </w:p>
        </w:tc>
      </w:tr>
      <w:tr w:rsidR="00652937" w14:paraId="0CA8615A" w14:textId="77777777" w:rsidTr="00C6484A">
        <w:trPr>
          <w:trHeight w:val="221"/>
          <w:jc w:val="center"/>
        </w:trPr>
        <w:tc>
          <w:tcPr>
            <w:tcW w:w="1418" w:type="dxa"/>
            <w:vMerge/>
            <w:vAlign w:val="center"/>
          </w:tcPr>
          <w:p w14:paraId="4572B8E8" w14:textId="77777777" w:rsidR="00652937" w:rsidRDefault="00652937" w:rsidP="00084192">
            <w:pPr>
              <w:pStyle w:val="TableText"/>
              <w:spacing w:line="360" w:lineRule="exact"/>
              <w:jc w:val="center"/>
              <w:rPr>
                <w:rFonts w:ascii="Times New Roman" w:eastAsia="仿宋_GB2312" w:hAnsi="Times New Roman" w:cs="Times New Roman"/>
                <w:color w:val="auto"/>
                <w:spacing w:val="-11"/>
                <w:sz w:val="24"/>
                <w:szCs w:val="24"/>
                <w:lang w:eastAsia="zh-CN"/>
              </w:rPr>
            </w:pPr>
          </w:p>
        </w:tc>
        <w:tc>
          <w:tcPr>
            <w:tcW w:w="1403" w:type="dxa"/>
            <w:vAlign w:val="center"/>
          </w:tcPr>
          <w:p w14:paraId="645C8DF2" w14:textId="57A47E99"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流化床</w:t>
            </w:r>
          </w:p>
        </w:tc>
        <w:tc>
          <w:tcPr>
            <w:tcW w:w="1843" w:type="dxa"/>
            <w:vAlign w:val="center"/>
          </w:tcPr>
          <w:p w14:paraId="4DBE636A" w14:textId="52C193DF" w:rsidR="00652937" w:rsidRPr="00BA3B26" w:rsidRDefault="00652937" w:rsidP="00652937">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70</w:t>
            </w:r>
          </w:p>
        </w:tc>
        <w:tc>
          <w:tcPr>
            <w:tcW w:w="1559" w:type="dxa"/>
            <w:vAlign w:val="center"/>
          </w:tcPr>
          <w:p w14:paraId="1BF8C5EE" w14:textId="382268A9"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85</w:t>
            </w:r>
          </w:p>
        </w:tc>
        <w:tc>
          <w:tcPr>
            <w:tcW w:w="1573" w:type="dxa"/>
            <w:vAlign w:val="center"/>
          </w:tcPr>
          <w:p w14:paraId="5D2C6EED" w14:textId="1779F791"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88.5</w:t>
            </w:r>
          </w:p>
        </w:tc>
      </w:tr>
      <w:tr w:rsidR="00652937" w14:paraId="0F089DAD" w14:textId="77777777" w:rsidTr="00C6484A">
        <w:trPr>
          <w:trHeight w:val="397"/>
          <w:jc w:val="center"/>
        </w:trPr>
        <w:tc>
          <w:tcPr>
            <w:tcW w:w="1418" w:type="dxa"/>
            <w:vAlign w:val="center"/>
          </w:tcPr>
          <w:p w14:paraId="6B157F6A" w14:textId="49F54AB7" w:rsidR="00652937" w:rsidRDefault="00652937" w:rsidP="00084192">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企业</w:t>
            </w:r>
            <w:r>
              <w:rPr>
                <w:rFonts w:ascii="Times New Roman" w:eastAsia="仿宋_GB2312" w:hAnsi="Times New Roman" w:cs="Times New Roman" w:hint="eastAsia"/>
                <w:color w:val="auto"/>
                <w:spacing w:val="-11"/>
                <w:sz w:val="24"/>
                <w:szCs w:val="24"/>
                <w:lang w:eastAsia="zh-CN"/>
              </w:rPr>
              <w:t>3</w:t>
            </w:r>
          </w:p>
        </w:tc>
        <w:tc>
          <w:tcPr>
            <w:tcW w:w="1403" w:type="dxa"/>
            <w:vAlign w:val="center"/>
          </w:tcPr>
          <w:p w14:paraId="32C5ED96" w14:textId="35913CC9" w:rsidR="00652937" w:rsidRPr="00323207"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层燃锅炉</w:t>
            </w:r>
          </w:p>
        </w:tc>
        <w:tc>
          <w:tcPr>
            <w:tcW w:w="1843" w:type="dxa"/>
            <w:vAlign w:val="center"/>
          </w:tcPr>
          <w:p w14:paraId="6E385281" w14:textId="6BA2C454" w:rsidR="00652937" w:rsidRPr="00BA3B26"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30</w:t>
            </w:r>
          </w:p>
        </w:tc>
        <w:tc>
          <w:tcPr>
            <w:tcW w:w="1559" w:type="dxa"/>
            <w:vAlign w:val="center"/>
          </w:tcPr>
          <w:p w14:paraId="01C215DB" w14:textId="5848A7CF"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90</w:t>
            </w:r>
          </w:p>
        </w:tc>
        <w:tc>
          <w:tcPr>
            <w:tcW w:w="1573" w:type="dxa"/>
          </w:tcPr>
          <w:p w14:paraId="0DCD10C2" w14:textId="0A90F1C2"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83</w:t>
            </w:r>
          </w:p>
        </w:tc>
      </w:tr>
      <w:tr w:rsidR="00652937" w14:paraId="266BE820" w14:textId="77777777" w:rsidTr="00C6484A">
        <w:trPr>
          <w:trHeight w:val="397"/>
          <w:jc w:val="center"/>
        </w:trPr>
        <w:tc>
          <w:tcPr>
            <w:tcW w:w="1418" w:type="dxa"/>
            <w:tcBorders>
              <w:bottom w:val="single" w:sz="12" w:space="0" w:color="auto"/>
            </w:tcBorders>
            <w:vAlign w:val="center"/>
          </w:tcPr>
          <w:p w14:paraId="4EFD0537" w14:textId="587AE3E7" w:rsidR="00652937" w:rsidRDefault="00652937" w:rsidP="00084192">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企业</w:t>
            </w:r>
            <w:r>
              <w:rPr>
                <w:rFonts w:ascii="Times New Roman" w:eastAsia="仿宋_GB2312" w:hAnsi="Times New Roman" w:cs="Times New Roman" w:hint="eastAsia"/>
                <w:color w:val="auto"/>
                <w:spacing w:val="-11"/>
                <w:sz w:val="24"/>
                <w:szCs w:val="24"/>
                <w:lang w:eastAsia="zh-CN"/>
              </w:rPr>
              <w:t>4</w:t>
            </w:r>
          </w:p>
        </w:tc>
        <w:tc>
          <w:tcPr>
            <w:tcW w:w="1403" w:type="dxa"/>
            <w:tcBorders>
              <w:bottom w:val="single" w:sz="12" w:space="0" w:color="auto"/>
            </w:tcBorders>
            <w:vAlign w:val="center"/>
          </w:tcPr>
          <w:p w14:paraId="5BBDE5F9" w14:textId="574CBD23" w:rsidR="00652937" w:rsidRPr="00323207"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层燃锅炉</w:t>
            </w:r>
          </w:p>
        </w:tc>
        <w:tc>
          <w:tcPr>
            <w:tcW w:w="1843" w:type="dxa"/>
            <w:tcBorders>
              <w:bottom w:val="single" w:sz="12" w:space="0" w:color="auto"/>
            </w:tcBorders>
            <w:vAlign w:val="center"/>
          </w:tcPr>
          <w:p w14:paraId="1F2C56E1" w14:textId="25FBEBD7" w:rsidR="00652937" w:rsidRPr="00BA3B26" w:rsidRDefault="00652937" w:rsidP="00652937">
            <w:pPr>
              <w:pStyle w:val="TableText"/>
              <w:spacing w:line="360" w:lineRule="exact"/>
              <w:jc w:val="center"/>
              <w:rPr>
                <w:rFonts w:ascii="Times New Roman" w:eastAsia="仿宋_GB2312" w:hAnsi="Times New Roman" w:cs="Times New Roman"/>
                <w:color w:val="auto"/>
                <w:spacing w:val="-11"/>
                <w:sz w:val="24"/>
                <w:szCs w:val="24"/>
                <w:lang w:eastAsia="zh-CN"/>
              </w:rPr>
            </w:pPr>
            <w:r>
              <w:rPr>
                <w:rFonts w:ascii="Times New Roman" w:eastAsia="仿宋_GB2312" w:hAnsi="Times New Roman" w:cs="Times New Roman" w:hint="eastAsia"/>
                <w:color w:val="auto"/>
                <w:spacing w:val="-11"/>
                <w:sz w:val="24"/>
                <w:szCs w:val="24"/>
                <w:lang w:eastAsia="zh-CN"/>
              </w:rPr>
              <w:t>15</w:t>
            </w:r>
          </w:p>
        </w:tc>
        <w:tc>
          <w:tcPr>
            <w:tcW w:w="1559" w:type="dxa"/>
            <w:tcBorders>
              <w:bottom w:val="single" w:sz="12" w:space="0" w:color="auto"/>
            </w:tcBorders>
            <w:vAlign w:val="center"/>
          </w:tcPr>
          <w:p w14:paraId="030DABEA" w14:textId="101FF339"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100</w:t>
            </w:r>
          </w:p>
        </w:tc>
        <w:tc>
          <w:tcPr>
            <w:tcW w:w="1573" w:type="dxa"/>
            <w:tcBorders>
              <w:bottom w:val="single" w:sz="12" w:space="0" w:color="auto"/>
            </w:tcBorders>
          </w:tcPr>
          <w:p w14:paraId="3E88EFFF" w14:textId="1CB3F956" w:rsidR="00652937" w:rsidRPr="00BA3B26" w:rsidRDefault="00FD55D0" w:rsidP="00FD55D0">
            <w:pPr>
              <w:pStyle w:val="TableText"/>
              <w:spacing w:line="360" w:lineRule="exact"/>
              <w:jc w:val="center"/>
              <w:rPr>
                <w:rFonts w:ascii="Times New Roman" w:eastAsia="仿宋_GB2312" w:hAnsi="Times New Roman" w:cs="Times New Roman"/>
                <w:color w:val="auto"/>
                <w:spacing w:val="-3"/>
                <w:sz w:val="24"/>
                <w:szCs w:val="24"/>
                <w:lang w:eastAsia="zh-CN"/>
              </w:rPr>
            </w:pPr>
            <w:r>
              <w:rPr>
                <w:rFonts w:ascii="Times New Roman" w:eastAsia="仿宋_GB2312" w:hAnsi="Times New Roman" w:cs="Times New Roman" w:hint="eastAsia"/>
                <w:color w:val="auto"/>
                <w:spacing w:val="-3"/>
                <w:sz w:val="24"/>
                <w:szCs w:val="24"/>
                <w:lang w:eastAsia="zh-CN"/>
              </w:rPr>
              <w:t>84</w:t>
            </w:r>
          </w:p>
        </w:tc>
      </w:tr>
    </w:tbl>
    <w:p w14:paraId="0CE7CEE6" w14:textId="25C18D07" w:rsidR="00445F8C" w:rsidRDefault="00084192" w:rsidP="00084192">
      <w:pPr>
        <w:autoSpaceDE w:val="0"/>
        <w:autoSpaceDN w:val="0"/>
        <w:adjustRightInd w:val="0"/>
        <w:spacing w:line="540" w:lineRule="exact"/>
        <w:ind w:firstLine="640"/>
        <w:rPr>
          <w:szCs w:val="32"/>
          <w:lang w:val="zh-CN"/>
        </w:rPr>
      </w:pPr>
      <w:r>
        <w:rPr>
          <w:szCs w:val="32"/>
          <w:lang w:val="zh-CN"/>
        </w:rPr>
        <w:t>基准值在参考《工业锅炉能效限定值及能效等级》（</w:t>
      </w:r>
      <w:r>
        <w:rPr>
          <w:szCs w:val="32"/>
          <w:lang w:val="zh-CN"/>
        </w:rPr>
        <w:t>GB 24500—2020</w:t>
      </w:r>
      <w:r>
        <w:rPr>
          <w:szCs w:val="32"/>
          <w:lang w:val="zh-CN"/>
        </w:rPr>
        <w:t>）的基础上，结合生物质锅炉工程应用及现场实测运行数据综合确定。其中，对层燃锅炉</w:t>
      </w:r>
      <w:proofErr w:type="gramStart"/>
      <w:r>
        <w:rPr>
          <w:szCs w:val="32"/>
          <w:lang w:val="zh-CN"/>
        </w:rPr>
        <w:t>和室燃锅炉</w:t>
      </w:r>
      <w:proofErr w:type="gramEnd"/>
      <w:r>
        <w:rPr>
          <w:szCs w:val="32"/>
          <w:lang w:val="zh-CN"/>
        </w:rPr>
        <w:t>，</w:t>
      </w:r>
      <w:r>
        <w:rPr>
          <w:rFonts w:ascii="宋体" w:eastAsia="宋体" w:hAnsi="宋体" w:cs="宋体" w:hint="eastAsia"/>
          <w:szCs w:val="32"/>
          <w:lang w:val="zh-CN"/>
        </w:rPr>
        <w:t>Ⅲ</w:t>
      </w:r>
      <w:r>
        <w:rPr>
          <w:szCs w:val="32"/>
          <w:lang w:val="zh-CN"/>
        </w:rPr>
        <w:t>级基准值设定为设计热效率不低于</w:t>
      </w:r>
      <w:r>
        <w:rPr>
          <w:szCs w:val="32"/>
          <w:lang w:val="zh-CN"/>
        </w:rPr>
        <w:t xml:space="preserve"> 83</w:t>
      </w:r>
      <w:r>
        <w:rPr>
          <w:szCs w:val="32"/>
          <w:lang w:val="zh-CN"/>
        </w:rPr>
        <w:t>％，体现满足现行规范和行业普遍</w:t>
      </w:r>
      <w:r>
        <w:rPr>
          <w:szCs w:val="32"/>
          <w:lang w:val="zh-CN"/>
        </w:rPr>
        <w:lastRenderedPageBreak/>
        <w:t>运行水平；</w:t>
      </w:r>
      <w:r>
        <w:rPr>
          <w:rFonts w:ascii="宋体" w:eastAsia="宋体" w:hAnsi="宋体" w:cs="宋体" w:hint="eastAsia"/>
          <w:szCs w:val="32"/>
          <w:lang w:val="zh-CN"/>
        </w:rPr>
        <w:t>Ⅱ</w:t>
      </w:r>
      <w:r>
        <w:rPr>
          <w:szCs w:val="32"/>
          <w:lang w:val="zh-CN"/>
        </w:rPr>
        <w:t>和</w:t>
      </w:r>
      <w:r>
        <w:rPr>
          <w:rFonts w:ascii="宋体" w:eastAsia="宋体" w:hAnsi="宋体" w:cs="宋体" w:hint="eastAsia"/>
          <w:szCs w:val="32"/>
          <w:lang w:val="zh-CN"/>
        </w:rPr>
        <w:t>Ⅰ</w:t>
      </w:r>
      <w:r>
        <w:rPr>
          <w:szCs w:val="32"/>
          <w:lang w:val="zh-CN"/>
        </w:rPr>
        <w:t>级基准值设定为不低于</w:t>
      </w:r>
      <w:r>
        <w:rPr>
          <w:szCs w:val="32"/>
          <w:lang w:val="zh-CN"/>
        </w:rPr>
        <w:t xml:space="preserve"> 86</w:t>
      </w:r>
      <w:r>
        <w:rPr>
          <w:szCs w:val="32"/>
          <w:lang w:val="zh-CN"/>
        </w:rPr>
        <w:t>％。对流化床锅炉，分别设置</w:t>
      </w:r>
      <w:r>
        <w:rPr>
          <w:szCs w:val="32"/>
          <w:lang w:val="zh-CN"/>
        </w:rPr>
        <w:t xml:space="preserve"> ≥83</w:t>
      </w:r>
      <w:r>
        <w:rPr>
          <w:szCs w:val="32"/>
          <w:lang w:val="zh-CN"/>
        </w:rPr>
        <w:t>％、</w:t>
      </w:r>
      <w:r>
        <w:rPr>
          <w:szCs w:val="32"/>
          <w:lang w:val="zh-CN"/>
        </w:rPr>
        <w:t>≥86</w:t>
      </w:r>
      <w:r>
        <w:rPr>
          <w:szCs w:val="32"/>
          <w:lang w:val="zh-CN"/>
        </w:rPr>
        <w:t>％、</w:t>
      </w:r>
      <w:r>
        <w:rPr>
          <w:szCs w:val="32"/>
          <w:lang w:val="zh-CN"/>
        </w:rPr>
        <w:t>≥88</w:t>
      </w:r>
      <w:r>
        <w:rPr>
          <w:szCs w:val="32"/>
          <w:lang w:val="zh-CN"/>
        </w:rPr>
        <w:t>％</w:t>
      </w:r>
      <w:r w:rsidR="00E70912">
        <w:rPr>
          <w:rFonts w:hint="eastAsia"/>
          <w:szCs w:val="32"/>
          <w:lang w:val="zh-CN"/>
        </w:rPr>
        <w:t>的</w:t>
      </w:r>
      <w:r>
        <w:rPr>
          <w:szCs w:val="32"/>
          <w:lang w:val="zh-CN"/>
        </w:rPr>
        <w:t>分级基准值，以反映不同炉型在燃烧方式和能效特征上的差异。锅炉燃烧效率的计算方法参考国标《工业锅炉热工性能试验规程》（</w:t>
      </w:r>
      <w:r>
        <w:rPr>
          <w:szCs w:val="32"/>
          <w:lang w:val="zh-CN"/>
        </w:rPr>
        <w:t>GB/T 10180-2017</w:t>
      </w:r>
      <w:r>
        <w:rPr>
          <w:szCs w:val="32"/>
          <w:lang w:val="zh-CN"/>
        </w:rPr>
        <w:t>）执行。</w:t>
      </w:r>
    </w:p>
    <w:p w14:paraId="5ACAF04F" w14:textId="77777777" w:rsidR="00FD55D0" w:rsidRDefault="00084192" w:rsidP="00084192">
      <w:pPr>
        <w:autoSpaceDE w:val="0"/>
        <w:autoSpaceDN w:val="0"/>
        <w:adjustRightInd w:val="0"/>
        <w:spacing w:line="540" w:lineRule="exact"/>
        <w:ind w:firstLine="640"/>
        <w:rPr>
          <w:szCs w:val="32"/>
          <w:lang w:val="zh-CN"/>
        </w:rPr>
      </w:pPr>
      <w:r>
        <w:rPr>
          <w:szCs w:val="32"/>
          <w:lang w:val="zh-CN"/>
        </w:rPr>
        <w:t>飞灰和</w:t>
      </w:r>
      <w:proofErr w:type="gramStart"/>
      <w:r>
        <w:rPr>
          <w:szCs w:val="32"/>
          <w:lang w:val="zh-CN"/>
        </w:rPr>
        <w:t>底渣碳</w:t>
      </w:r>
      <w:proofErr w:type="gramEnd"/>
      <w:r>
        <w:rPr>
          <w:szCs w:val="32"/>
          <w:lang w:val="zh-CN"/>
        </w:rPr>
        <w:t>含量用于评价燃尽程度和燃烧质量，基准值依据国标《生物质锅炉质量性能评价技术准则》（</w:t>
      </w:r>
      <w:r>
        <w:rPr>
          <w:szCs w:val="32"/>
          <w:lang w:val="zh-CN"/>
        </w:rPr>
        <w:t>GB/T 44907-2024</w:t>
      </w:r>
      <w:r>
        <w:rPr>
          <w:szCs w:val="32"/>
          <w:lang w:val="zh-CN"/>
        </w:rPr>
        <w:t>）和《生物质锅炉技术规范》（</w:t>
      </w:r>
      <w:r>
        <w:rPr>
          <w:szCs w:val="32"/>
          <w:lang w:val="zh-CN"/>
        </w:rPr>
        <w:t>GB/T 44906-2024</w:t>
      </w:r>
      <w:r>
        <w:rPr>
          <w:szCs w:val="32"/>
          <w:lang w:val="zh-CN"/>
        </w:rPr>
        <w:t>）对不同炉型燃烧特征限定和工程实践经验值进行设定。</w:t>
      </w:r>
    </w:p>
    <w:p w14:paraId="60FECB5A" w14:textId="7E174453" w:rsidR="00D11BAE" w:rsidRDefault="00D11BAE" w:rsidP="00084192">
      <w:pPr>
        <w:autoSpaceDE w:val="0"/>
        <w:autoSpaceDN w:val="0"/>
        <w:adjustRightInd w:val="0"/>
        <w:spacing w:line="540" w:lineRule="exact"/>
        <w:ind w:firstLine="640"/>
        <w:rPr>
          <w:rFonts w:hint="eastAsia"/>
          <w:szCs w:val="32"/>
        </w:rPr>
      </w:pPr>
      <w:r>
        <w:rPr>
          <w:rFonts w:hint="eastAsia"/>
          <w:szCs w:val="32"/>
          <w:lang w:val="zh-CN"/>
        </w:rPr>
        <w:t>为提高</w:t>
      </w:r>
      <w:r w:rsidRPr="00D11BAE">
        <w:rPr>
          <w:rFonts w:hint="eastAsia"/>
          <w:szCs w:val="32"/>
          <w:lang w:val="zh-CN"/>
        </w:rPr>
        <w:t>飞灰和</w:t>
      </w:r>
      <w:proofErr w:type="gramStart"/>
      <w:r w:rsidRPr="00D11BAE">
        <w:rPr>
          <w:rFonts w:hint="eastAsia"/>
          <w:szCs w:val="32"/>
          <w:lang w:val="zh-CN"/>
        </w:rPr>
        <w:t>底渣碳</w:t>
      </w:r>
      <w:proofErr w:type="gramEnd"/>
      <w:r w:rsidRPr="00D11BAE">
        <w:rPr>
          <w:rFonts w:hint="eastAsia"/>
          <w:szCs w:val="32"/>
          <w:lang w:val="zh-CN"/>
        </w:rPr>
        <w:t>含量</w:t>
      </w:r>
      <w:r>
        <w:rPr>
          <w:rFonts w:hint="eastAsia"/>
          <w:szCs w:val="32"/>
          <w:lang w:val="zh-CN"/>
        </w:rPr>
        <w:t>基准值的适配性，</w:t>
      </w:r>
      <w:r w:rsidRPr="00D11BAE">
        <w:rPr>
          <w:rFonts w:hint="eastAsia"/>
          <w:szCs w:val="32"/>
          <w:lang w:val="zh-CN"/>
        </w:rPr>
        <w:t>编制组对广西壮族自治区不同蒸吨和燃烧方式的锅炉进行了全面调研</w:t>
      </w:r>
      <w:r>
        <w:rPr>
          <w:rFonts w:hint="eastAsia"/>
          <w:szCs w:val="32"/>
          <w:lang w:val="zh-CN"/>
        </w:rPr>
        <w:t>。</w:t>
      </w:r>
      <w:r w:rsidRPr="00D11BAE">
        <w:rPr>
          <w:rFonts w:hint="eastAsia"/>
          <w:szCs w:val="32"/>
          <w:lang w:val="zh-CN"/>
        </w:rPr>
        <w:t>根据</w:t>
      </w:r>
      <w:r w:rsidRPr="00D11BAE">
        <w:rPr>
          <w:szCs w:val="32"/>
          <w:lang w:val="zh-CN"/>
        </w:rPr>
        <w:t>GB/T 28730</w:t>
      </w:r>
      <w:r w:rsidR="00084192">
        <w:rPr>
          <w:rFonts w:hint="eastAsia"/>
          <w:szCs w:val="32"/>
          <w:lang w:val="zh-CN"/>
        </w:rPr>
        <w:t xml:space="preserve"> </w:t>
      </w:r>
      <w:r w:rsidRPr="00D11BAE">
        <w:rPr>
          <w:szCs w:val="32"/>
          <w:lang w:val="zh-CN"/>
        </w:rPr>
        <w:t>2012</w:t>
      </w:r>
      <w:r w:rsidRPr="00D11BAE">
        <w:rPr>
          <w:rFonts w:hint="eastAsia"/>
          <w:szCs w:val="32"/>
          <w:lang w:val="zh-CN"/>
        </w:rPr>
        <w:t>《固体生物质燃料样品制备方法》、</w:t>
      </w:r>
      <w:r w:rsidRPr="00D11BAE">
        <w:rPr>
          <w:szCs w:val="32"/>
          <w:lang w:val="zh-CN"/>
        </w:rPr>
        <w:t>GB/T 28731</w:t>
      </w:r>
      <w:r w:rsidR="00084192">
        <w:rPr>
          <w:rFonts w:hint="eastAsia"/>
          <w:szCs w:val="32"/>
          <w:lang w:val="zh-CN"/>
        </w:rPr>
        <w:t xml:space="preserve"> </w:t>
      </w:r>
      <w:r w:rsidRPr="00D11BAE">
        <w:rPr>
          <w:szCs w:val="32"/>
          <w:lang w:val="zh-CN"/>
        </w:rPr>
        <w:t>2012</w:t>
      </w:r>
      <w:r w:rsidRPr="00D11BAE">
        <w:rPr>
          <w:rFonts w:hint="eastAsia"/>
          <w:szCs w:val="32"/>
          <w:lang w:val="zh-CN"/>
        </w:rPr>
        <w:t>《固体生物质燃料工业分析方法》以及《农业生物质原料成分测定</w:t>
      </w:r>
      <w:r w:rsidRPr="00D11BAE">
        <w:rPr>
          <w:szCs w:val="32"/>
          <w:lang w:val="zh-CN"/>
        </w:rPr>
        <w:t xml:space="preserve"> </w:t>
      </w:r>
      <w:r w:rsidRPr="00D11BAE">
        <w:rPr>
          <w:rFonts w:hint="eastAsia"/>
          <w:szCs w:val="32"/>
          <w:lang w:val="zh-CN"/>
        </w:rPr>
        <w:t>元素分析仪法》（</w:t>
      </w:r>
      <w:r w:rsidRPr="00D11BAE">
        <w:rPr>
          <w:szCs w:val="32"/>
          <w:lang w:val="zh-CN"/>
        </w:rPr>
        <w:t>NY/T 3498-2019</w:t>
      </w:r>
      <w:r w:rsidRPr="00D11BAE">
        <w:rPr>
          <w:rFonts w:hint="eastAsia"/>
          <w:szCs w:val="32"/>
          <w:lang w:val="zh-CN"/>
        </w:rPr>
        <w:t>），</w:t>
      </w:r>
      <w:r>
        <w:rPr>
          <w:rFonts w:hint="eastAsia"/>
          <w:szCs w:val="32"/>
          <w:lang w:val="zh-CN"/>
        </w:rPr>
        <w:t>结果</w:t>
      </w:r>
      <w:r w:rsidRPr="00D11BAE">
        <w:rPr>
          <w:rFonts w:hint="eastAsia"/>
          <w:szCs w:val="32"/>
          <w:lang w:val="zh-CN"/>
        </w:rPr>
        <w:t>如表</w:t>
      </w:r>
      <w:r w:rsidRPr="00D11BAE">
        <w:rPr>
          <w:szCs w:val="32"/>
          <w:lang w:val="zh-CN"/>
        </w:rPr>
        <w:t>6</w:t>
      </w:r>
      <w:r w:rsidRPr="00D11BAE">
        <w:rPr>
          <w:rFonts w:hint="eastAsia"/>
          <w:szCs w:val="32"/>
          <w:lang w:val="zh-CN"/>
        </w:rPr>
        <w:t>所示</w:t>
      </w:r>
      <w:r>
        <w:rPr>
          <w:rFonts w:hint="eastAsia"/>
          <w:szCs w:val="32"/>
          <w:lang w:val="zh-CN"/>
        </w:rPr>
        <w:t>。综合</w:t>
      </w:r>
      <w:r w:rsidRPr="00D11BAE">
        <w:rPr>
          <w:rFonts w:hint="eastAsia"/>
          <w:szCs w:val="32"/>
          <w:lang w:val="zh-CN"/>
        </w:rPr>
        <w:t>《生物质锅炉质量性能评价技术准则》</w:t>
      </w:r>
      <w:r>
        <w:rPr>
          <w:rFonts w:hint="eastAsia"/>
          <w:szCs w:val="32"/>
          <w:lang w:val="zh-CN"/>
        </w:rPr>
        <w:t>和</w:t>
      </w:r>
      <w:r w:rsidRPr="00D11BAE">
        <w:rPr>
          <w:rFonts w:hint="eastAsia"/>
          <w:szCs w:val="32"/>
          <w:lang w:val="zh-CN"/>
        </w:rPr>
        <w:t>《生物质锅炉技术规范》</w:t>
      </w:r>
      <w:r>
        <w:rPr>
          <w:rFonts w:hint="eastAsia"/>
          <w:szCs w:val="32"/>
          <w:lang w:val="zh-CN"/>
        </w:rPr>
        <w:t>的相关要求，</w:t>
      </w:r>
      <w:r>
        <w:rPr>
          <w:szCs w:val="32"/>
          <w:lang w:val="zh-CN"/>
        </w:rPr>
        <w:t>对层燃</w:t>
      </w:r>
      <w:proofErr w:type="gramStart"/>
      <w:r>
        <w:rPr>
          <w:szCs w:val="32"/>
          <w:lang w:val="zh-CN"/>
        </w:rPr>
        <w:t>和室燃锅炉</w:t>
      </w:r>
      <w:proofErr w:type="gramEnd"/>
      <w:r>
        <w:rPr>
          <w:szCs w:val="32"/>
          <w:lang w:val="zh-CN"/>
        </w:rPr>
        <w:t>，飞灰</w:t>
      </w:r>
      <w:proofErr w:type="gramStart"/>
      <w:r>
        <w:rPr>
          <w:szCs w:val="32"/>
          <w:lang w:val="zh-CN"/>
        </w:rPr>
        <w:t>可燃物碳含量</w:t>
      </w:r>
      <w:proofErr w:type="gramEnd"/>
      <w:r>
        <w:rPr>
          <w:rFonts w:ascii="宋体" w:eastAsia="宋体" w:hAnsi="宋体" w:cs="宋体" w:hint="eastAsia"/>
          <w:szCs w:val="32"/>
          <w:lang w:val="zh-CN"/>
        </w:rPr>
        <w:t>Ⅲ</w:t>
      </w:r>
      <w:r>
        <w:rPr>
          <w:szCs w:val="32"/>
          <w:lang w:val="zh-CN"/>
        </w:rPr>
        <w:t>级、</w:t>
      </w:r>
      <w:r>
        <w:rPr>
          <w:rFonts w:ascii="宋体" w:eastAsia="宋体" w:hAnsi="宋体" w:cs="宋体" w:hint="eastAsia"/>
          <w:szCs w:val="32"/>
          <w:lang w:val="zh-CN"/>
        </w:rPr>
        <w:t>Ⅱ</w:t>
      </w:r>
      <w:r>
        <w:rPr>
          <w:szCs w:val="32"/>
          <w:lang w:val="zh-CN"/>
        </w:rPr>
        <w:t>级和</w:t>
      </w:r>
      <w:r>
        <w:rPr>
          <w:rFonts w:ascii="宋体" w:eastAsia="宋体" w:hAnsi="宋体" w:cs="宋体" w:hint="eastAsia"/>
          <w:szCs w:val="32"/>
          <w:lang w:val="zh-CN"/>
        </w:rPr>
        <w:t>Ⅰ</w:t>
      </w:r>
      <w:r>
        <w:rPr>
          <w:szCs w:val="32"/>
          <w:lang w:val="zh-CN"/>
        </w:rPr>
        <w:t>级基准值分别控制在</w:t>
      </w:r>
      <w:r>
        <w:rPr>
          <w:szCs w:val="32"/>
          <w:lang w:val="zh-CN"/>
        </w:rPr>
        <w:t>≤15</w:t>
      </w:r>
      <w:r>
        <w:rPr>
          <w:szCs w:val="32"/>
          <w:lang w:val="zh-CN"/>
        </w:rPr>
        <w:t>％、</w:t>
      </w:r>
      <w:r>
        <w:rPr>
          <w:szCs w:val="32"/>
          <w:lang w:val="zh-CN"/>
        </w:rPr>
        <w:t>≤12</w:t>
      </w:r>
      <w:r>
        <w:rPr>
          <w:szCs w:val="32"/>
          <w:lang w:val="zh-CN"/>
        </w:rPr>
        <w:t>％、</w:t>
      </w:r>
      <w:r>
        <w:rPr>
          <w:szCs w:val="32"/>
          <w:lang w:val="zh-CN"/>
        </w:rPr>
        <w:t>≤10</w:t>
      </w:r>
      <w:r>
        <w:rPr>
          <w:szCs w:val="32"/>
          <w:lang w:val="zh-CN"/>
        </w:rPr>
        <w:t>％；</w:t>
      </w:r>
      <w:proofErr w:type="gramStart"/>
      <w:r>
        <w:rPr>
          <w:szCs w:val="32"/>
          <w:lang w:val="zh-CN"/>
        </w:rPr>
        <w:t>底渣可燃物碳</w:t>
      </w:r>
      <w:proofErr w:type="gramEnd"/>
      <w:r>
        <w:rPr>
          <w:szCs w:val="32"/>
          <w:lang w:val="zh-CN"/>
        </w:rPr>
        <w:t>含量分别控制在</w:t>
      </w:r>
      <w:r>
        <w:rPr>
          <w:szCs w:val="32"/>
          <w:lang w:val="zh-CN"/>
        </w:rPr>
        <w:t>≤10</w:t>
      </w:r>
      <w:r>
        <w:rPr>
          <w:szCs w:val="32"/>
          <w:lang w:val="zh-CN"/>
        </w:rPr>
        <w:t>％、</w:t>
      </w:r>
      <w:r>
        <w:rPr>
          <w:szCs w:val="32"/>
          <w:lang w:val="zh-CN"/>
        </w:rPr>
        <w:t>≤7</w:t>
      </w:r>
      <w:r>
        <w:rPr>
          <w:szCs w:val="32"/>
          <w:lang w:val="zh-CN"/>
        </w:rPr>
        <w:t>％、</w:t>
      </w:r>
      <w:r>
        <w:rPr>
          <w:szCs w:val="32"/>
          <w:lang w:val="zh-CN"/>
        </w:rPr>
        <w:t>≤5</w:t>
      </w:r>
      <w:r>
        <w:rPr>
          <w:szCs w:val="32"/>
          <w:lang w:val="zh-CN"/>
        </w:rPr>
        <w:t>％。对流化床锅炉，飞灰</w:t>
      </w:r>
      <w:proofErr w:type="gramStart"/>
      <w:r>
        <w:rPr>
          <w:szCs w:val="32"/>
          <w:lang w:val="zh-CN"/>
        </w:rPr>
        <w:t>可燃物碳含量</w:t>
      </w:r>
      <w:proofErr w:type="gramEnd"/>
      <w:r>
        <w:rPr>
          <w:szCs w:val="32"/>
          <w:lang w:val="zh-CN"/>
        </w:rPr>
        <w:t>分级控制在</w:t>
      </w:r>
      <w:r>
        <w:rPr>
          <w:szCs w:val="32"/>
          <w:lang w:val="zh-CN"/>
        </w:rPr>
        <w:t>≤7</w:t>
      </w:r>
      <w:r>
        <w:rPr>
          <w:szCs w:val="32"/>
          <w:lang w:val="zh-CN"/>
        </w:rPr>
        <w:t>％、</w:t>
      </w:r>
      <w:r>
        <w:rPr>
          <w:szCs w:val="32"/>
          <w:lang w:val="zh-CN"/>
        </w:rPr>
        <w:t>≤5</w:t>
      </w:r>
      <w:r>
        <w:rPr>
          <w:szCs w:val="32"/>
          <w:lang w:val="zh-CN"/>
        </w:rPr>
        <w:t>％、</w:t>
      </w:r>
      <w:r>
        <w:rPr>
          <w:szCs w:val="32"/>
          <w:lang w:val="zh-CN"/>
        </w:rPr>
        <w:t>≤3</w:t>
      </w:r>
      <w:r>
        <w:rPr>
          <w:szCs w:val="32"/>
          <w:lang w:val="zh-CN"/>
        </w:rPr>
        <w:t>％，</w:t>
      </w:r>
      <w:proofErr w:type="gramStart"/>
      <w:r>
        <w:rPr>
          <w:szCs w:val="32"/>
          <w:lang w:val="zh-CN"/>
        </w:rPr>
        <w:t>底渣可燃</w:t>
      </w:r>
      <w:proofErr w:type="gramEnd"/>
      <w:r>
        <w:rPr>
          <w:szCs w:val="32"/>
          <w:lang w:val="zh-CN"/>
        </w:rPr>
        <w:t>物分级控制在</w:t>
      </w:r>
      <w:r>
        <w:rPr>
          <w:szCs w:val="32"/>
          <w:lang w:val="zh-CN"/>
        </w:rPr>
        <w:t>≤2</w:t>
      </w:r>
      <w:r>
        <w:rPr>
          <w:szCs w:val="32"/>
          <w:lang w:val="zh-CN"/>
        </w:rPr>
        <w:t>％、</w:t>
      </w:r>
      <w:r>
        <w:rPr>
          <w:szCs w:val="32"/>
          <w:lang w:val="zh-CN"/>
        </w:rPr>
        <w:t>≤1.5</w:t>
      </w:r>
      <w:r>
        <w:rPr>
          <w:szCs w:val="32"/>
          <w:lang w:val="zh-CN"/>
        </w:rPr>
        <w:t>％和</w:t>
      </w:r>
      <w:r>
        <w:rPr>
          <w:szCs w:val="32"/>
          <w:lang w:val="zh-CN"/>
        </w:rPr>
        <w:t>≤1</w:t>
      </w:r>
      <w:r>
        <w:rPr>
          <w:szCs w:val="32"/>
          <w:lang w:val="zh-CN"/>
        </w:rPr>
        <w:t>％。</w:t>
      </w:r>
      <w:r w:rsidR="00443BED" w:rsidRPr="00443BED">
        <w:rPr>
          <w:szCs w:val="32"/>
        </w:rPr>
        <w:t>这些基准值有助于优化不同锅炉类型和燃烧方式下的飞灰与</w:t>
      </w:r>
      <w:proofErr w:type="gramStart"/>
      <w:r w:rsidR="00443BED" w:rsidRPr="00443BED">
        <w:rPr>
          <w:szCs w:val="32"/>
        </w:rPr>
        <w:t>底渣碳</w:t>
      </w:r>
      <w:proofErr w:type="gramEnd"/>
      <w:r w:rsidR="00443BED" w:rsidRPr="00443BED">
        <w:rPr>
          <w:szCs w:val="32"/>
        </w:rPr>
        <w:t>含量控制，确保生物质锅炉的高效运行与污染物控制。</w:t>
      </w:r>
    </w:p>
    <w:p w14:paraId="39EE84B9" w14:textId="77777777" w:rsidR="00084192" w:rsidRDefault="00084192" w:rsidP="00084192">
      <w:pPr>
        <w:autoSpaceDE w:val="0"/>
        <w:autoSpaceDN w:val="0"/>
        <w:adjustRightInd w:val="0"/>
        <w:spacing w:line="540" w:lineRule="exact"/>
        <w:ind w:firstLine="640"/>
        <w:rPr>
          <w:rFonts w:hint="eastAsia"/>
          <w:szCs w:val="32"/>
        </w:rPr>
      </w:pPr>
    </w:p>
    <w:p w14:paraId="0E666D6D" w14:textId="77777777" w:rsidR="00084192" w:rsidRDefault="00084192" w:rsidP="00084192">
      <w:pPr>
        <w:autoSpaceDE w:val="0"/>
        <w:autoSpaceDN w:val="0"/>
        <w:adjustRightInd w:val="0"/>
        <w:spacing w:line="540" w:lineRule="exact"/>
        <w:ind w:firstLine="640"/>
        <w:rPr>
          <w:rFonts w:hint="eastAsia"/>
          <w:szCs w:val="32"/>
        </w:rPr>
      </w:pPr>
    </w:p>
    <w:p w14:paraId="0A809544" w14:textId="77777777" w:rsidR="00084192" w:rsidRDefault="00084192" w:rsidP="00084192">
      <w:pPr>
        <w:autoSpaceDE w:val="0"/>
        <w:autoSpaceDN w:val="0"/>
        <w:adjustRightInd w:val="0"/>
        <w:spacing w:line="540" w:lineRule="exact"/>
        <w:ind w:firstLine="640"/>
        <w:rPr>
          <w:rFonts w:hint="eastAsia"/>
          <w:szCs w:val="32"/>
        </w:rPr>
      </w:pPr>
    </w:p>
    <w:p w14:paraId="01EAFAB1" w14:textId="77777777" w:rsidR="00084192" w:rsidRDefault="00084192" w:rsidP="00084192">
      <w:pPr>
        <w:autoSpaceDE w:val="0"/>
        <w:autoSpaceDN w:val="0"/>
        <w:adjustRightInd w:val="0"/>
        <w:spacing w:line="540" w:lineRule="exact"/>
        <w:ind w:firstLine="640"/>
        <w:rPr>
          <w:rFonts w:hint="eastAsia"/>
          <w:szCs w:val="32"/>
        </w:rPr>
      </w:pPr>
    </w:p>
    <w:p w14:paraId="2B124A42" w14:textId="1BD325EA" w:rsidR="00FD55D0" w:rsidRPr="00D11BAE" w:rsidRDefault="00FD55D0" w:rsidP="00D11BAE">
      <w:pPr>
        <w:autoSpaceDE w:val="0"/>
        <w:autoSpaceDN w:val="0"/>
        <w:adjustRightInd w:val="0"/>
        <w:spacing w:line="560" w:lineRule="exact"/>
        <w:ind w:firstLineChars="0" w:firstLine="0"/>
        <w:jc w:val="center"/>
        <w:rPr>
          <w:sz w:val="28"/>
          <w:szCs w:val="28"/>
        </w:rPr>
      </w:pPr>
      <w:r>
        <w:rPr>
          <w:sz w:val="28"/>
          <w:szCs w:val="28"/>
        </w:rPr>
        <w:lastRenderedPageBreak/>
        <w:t>表</w:t>
      </w:r>
      <w:r>
        <w:rPr>
          <w:rFonts w:hint="eastAsia"/>
          <w:sz w:val="28"/>
          <w:szCs w:val="28"/>
        </w:rPr>
        <w:t>6</w:t>
      </w:r>
      <w:r>
        <w:rPr>
          <w:sz w:val="28"/>
          <w:szCs w:val="28"/>
        </w:rPr>
        <w:t xml:space="preserve"> </w:t>
      </w:r>
      <w:r>
        <w:rPr>
          <w:rFonts w:hint="eastAsia"/>
          <w:sz w:val="28"/>
          <w:szCs w:val="28"/>
        </w:rPr>
        <w:t>编制组调研</w:t>
      </w:r>
      <w:r w:rsidRPr="00FD55D0">
        <w:rPr>
          <w:rFonts w:hint="eastAsia"/>
          <w:sz w:val="28"/>
          <w:szCs w:val="28"/>
        </w:rPr>
        <w:t>生物质锅炉燃料及灰渣的工业分析与元素分析结果</w:t>
      </w:r>
    </w:p>
    <w:tbl>
      <w:tblPr>
        <w:tblW w:w="4959" w:type="pct"/>
        <w:jc w:val="center"/>
        <w:tblBorders>
          <w:top w:val="single" w:sz="12" w:space="0" w:color="000000"/>
          <w:bottom w:val="single" w:sz="12" w:space="0" w:color="000000"/>
          <w:insideH w:val="single" w:sz="4" w:space="0" w:color="auto"/>
          <w:insideV w:val="single" w:sz="4" w:space="0" w:color="auto"/>
        </w:tblBorders>
        <w:tblLayout w:type="fixed"/>
        <w:tblLook w:val="04A0" w:firstRow="1" w:lastRow="0" w:firstColumn="1" w:lastColumn="0" w:noHBand="0" w:noVBand="1"/>
      </w:tblPr>
      <w:tblGrid>
        <w:gridCol w:w="994"/>
        <w:gridCol w:w="761"/>
        <w:gridCol w:w="817"/>
        <w:gridCol w:w="815"/>
        <w:gridCol w:w="815"/>
        <w:gridCol w:w="819"/>
        <w:gridCol w:w="812"/>
        <w:gridCol w:w="817"/>
        <w:gridCol w:w="817"/>
        <w:gridCol w:w="828"/>
        <w:gridCol w:w="804"/>
      </w:tblGrid>
      <w:tr w:rsidR="00385AD9" w:rsidRPr="00FD55D0" w14:paraId="3C9855AB" w14:textId="77777777" w:rsidTr="00014A18">
        <w:trPr>
          <w:trHeight w:val="343"/>
          <w:jc w:val="center"/>
        </w:trPr>
        <w:tc>
          <w:tcPr>
            <w:tcW w:w="964" w:type="pct"/>
            <w:gridSpan w:val="2"/>
            <w:vMerge w:val="restart"/>
            <w:tcBorders>
              <w:top w:val="single" w:sz="12" w:space="0" w:color="000000"/>
              <w:left w:val="nil"/>
              <w:bottom w:val="nil"/>
              <w:right w:val="nil"/>
            </w:tcBorders>
            <w:vAlign w:val="center"/>
          </w:tcPr>
          <w:p w14:paraId="60B080FF" w14:textId="77777777" w:rsidR="00FD55D0" w:rsidRPr="00FD55D0" w:rsidRDefault="00FD55D0" w:rsidP="00FD55D0">
            <w:pPr>
              <w:ind w:firstLineChars="0" w:firstLine="0"/>
              <w:jc w:val="center"/>
              <w:rPr>
                <w:sz w:val="24"/>
              </w:rPr>
            </w:pPr>
          </w:p>
        </w:tc>
        <w:tc>
          <w:tcPr>
            <w:tcW w:w="1795" w:type="pct"/>
            <w:gridSpan w:val="4"/>
            <w:tcBorders>
              <w:top w:val="single" w:sz="12" w:space="0" w:color="000000"/>
              <w:left w:val="nil"/>
              <w:bottom w:val="single" w:sz="4" w:space="0" w:color="auto"/>
              <w:right w:val="nil"/>
            </w:tcBorders>
            <w:vAlign w:val="center"/>
          </w:tcPr>
          <w:p w14:paraId="6E51A048" w14:textId="77777777" w:rsidR="00FD55D0" w:rsidRPr="00FD55D0" w:rsidRDefault="00FD55D0" w:rsidP="00FD55D0">
            <w:pPr>
              <w:ind w:firstLineChars="0" w:firstLine="0"/>
              <w:jc w:val="center"/>
              <w:rPr>
                <w:sz w:val="24"/>
              </w:rPr>
            </w:pPr>
            <w:r w:rsidRPr="00FD55D0">
              <w:rPr>
                <w:sz w:val="24"/>
              </w:rPr>
              <w:t>工业分析（</w:t>
            </w:r>
            <w:r w:rsidRPr="00FD55D0">
              <w:rPr>
                <w:sz w:val="24"/>
              </w:rPr>
              <w:t>wt.%</w:t>
            </w:r>
            <w:r w:rsidRPr="00FD55D0">
              <w:rPr>
                <w:sz w:val="24"/>
              </w:rPr>
              <w:t>）</w:t>
            </w:r>
          </w:p>
        </w:tc>
        <w:tc>
          <w:tcPr>
            <w:tcW w:w="2241" w:type="pct"/>
            <w:gridSpan w:val="5"/>
            <w:tcBorders>
              <w:top w:val="single" w:sz="12" w:space="0" w:color="000000"/>
              <w:left w:val="nil"/>
              <w:bottom w:val="single" w:sz="4" w:space="0" w:color="auto"/>
              <w:right w:val="nil"/>
            </w:tcBorders>
            <w:vAlign w:val="center"/>
          </w:tcPr>
          <w:p w14:paraId="4C7EEEB4" w14:textId="77777777" w:rsidR="00FD55D0" w:rsidRPr="00FD55D0" w:rsidRDefault="00FD55D0" w:rsidP="00FD55D0">
            <w:pPr>
              <w:ind w:firstLineChars="0" w:firstLine="0"/>
              <w:jc w:val="center"/>
              <w:rPr>
                <w:sz w:val="24"/>
              </w:rPr>
            </w:pPr>
            <w:r w:rsidRPr="00FD55D0">
              <w:rPr>
                <w:sz w:val="24"/>
              </w:rPr>
              <w:t>元素分析（</w:t>
            </w:r>
            <w:r w:rsidRPr="00FD55D0">
              <w:rPr>
                <w:sz w:val="24"/>
              </w:rPr>
              <w:t>wt.%</w:t>
            </w:r>
            <w:r w:rsidRPr="00FD55D0">
              <w:rPr>
                <w:sz w:val="24"/>
              </w:rPr>
              <w:t>）</w:t>
            </w:r>
          </w:p>
        </w:tc>
      </w:tr>
      <w:tr w:rsidR="003E565E" w:rsidRPr="00FD55D0" w14:paraId="35AF0BC9" w14:textId="77777777" w:rsidTr="00014A18">
        <w:trPr>
          <w:trHeight w:val="610"/>
          <w:jc w:val="center"/>
        </w:trPr>
        <w:tc>
          <w:tcPr>
            <w:tcW w:w="964" w:type="pct"/>
            <w:gridSpan w:val="2"/>
            <w:vMerge/>
            <w:tcBorders>
              <w:top w:val="single" w:sz="12" w:space="0" w:color="000000"/>
              <w:left w:val="nil"/>
              <w:bottom w:val="single" w:sz="8" w:space="0" w:color="auto"/>
              <w:right w:val="nil"/>
            </w:tcBorders>
            <w:vAlign w:val="center"/>
          </w:tcPr>
          <w:p w14:paraId="3B1B58A3" w14:textId="77777777" w:rsidR="00FD55D0" w:rsidRPr="00FD55D0" w:rsidRDefault="00FD55D0" w:rsidP="00FD55D0">
            <w:pPr>
              <w:widowControl/>
              <w:ind w:firstLineChars="0" w:firstLine="0"/>
              <w:jc w:val="center"/>
              <w:rPr>
                <w:sz w:val="24"/>
              </w:rPr>
            </w:pPr>
          </w:p>
        </w:tc>
        <w:tc>
          <w:tcPr>
            <w:tcW w:w="449" w:type="pct"/>
            <w:tcBorders>
              <w:top w:val="single" w:sz="4" w:space="0" w:color="auto"/>
              <w:left w:val="nil"/>
              <w:bottom w:val="single" w:sz="8" w:space="0" w:color="auto"/>
              <w:right w:val="nil"/>
            </w:tcBorders>
            <w:vAlign w:val="center"/>
          </w:tcPr>
          <w:p w14:paraId="2324450D" w14:textId="77777777" w:rsidR="00FD55D0" w:rsidRPr="00FD55D0" w:rsidRDefault="00FD55D0" w:rsidP="00FD55D0">
            <w:pPr>
              <w:ind w:firstLineChars="0" w:firstLine="0"/>
              <w:jc w:val="center"/>
              <w:rPr>
                <w:sz w:val="24"/>
              </w:rPr>
            </w:pPr>
            <w:r w:rsidRPr="00FD55D0">
              <w:rPr>
                <w:sz w:val="24"/>
              </w:rPr>
              <w:t>M</w:t>
            </w:r>
            <w:r w:rsidRPr="00FD55D0">
              <w:rPr>
                <w:sz w:val="24"/>
                <w:vertAlign w:val="subscript"/>
              </w:rPr>
              <w:t>ar</w:t>
            </w:r>
          </w:p>
        </w:tc>
        <w:tc>
          <w:tcPr>
            <w:tcW w:w="448" w:type="pct"/>
            <w:tcBorders>
              <w:top w:val="single" w:sz="4" w:space="0" w:color="auto"/>
              <w:left w:val="nil"/>
              <w:bottom w:val="single" w:sz="8" w:space="0" w:color="auto"/>
              <w:right w:val="nil"/>
            </w:tcBorders>
            <w:vAlign w:val="center"/>
          </w:tcPr>
          <w:p w14:paraId="4179C369" w14:textId="206FD162" w:rsidR="00FD55D0" w:rsidRPr="00FD55D0" w:rsidRDefault="00FD55D0" w:rsidP="00FD55D0">
            <w:pPr>
              <w:ind w:firstLineChars="0" w:firstLine="0"/>
              <w:jc w:val="center"/>
              <w:rPr>
                <w:sz w:val="24"/>
              </w:rPr>
            </w:pPr>
            <w:r w:rsidRPr="00FD55D0">
              <w:rPr>
                <w:sz w:val="24"/>
              </w:rPr>
              <w:t>A</w:t>
            </w:r>
            <w:r w:rsidR="002F4BCA">
              <w:rPr>
                <w:rFonts w:hint="eastAsia"/>
                <w:sz w:val="24"/>
                <w:vertAlign w:val="subscript"/>
              </w:rPr>
              <w:t>ar</w:t>
            </w:r>
          </w:p>
        </w:tc>
        <w:tc>
          <w:tcPr>
            <w:tcW w:w="448" w:type="pct"/>
            <w:tcBorders>
              <w:top w:val="single" w:sz="4" w:space="0" w:color="auto"/>
              <w:left w:val="nil"/>
              <w:bottom w:val="single" w:sz="8" w:space="0" w:color="auto"/>
              <w:right w:val="nil"/>
            </w:tcBorders>
            <w:vAlign w:val="center"/>
          </w:tcPr>
          <w:p w14:paraId="774A7C1E" w14:textId="7672A87B" w:rsidR="00FD55D0" w:rsidRPr="00FD55D0" w:rsidRDefault="00FD55D0" w:rsidP="00FD55D0">
            <w:pPr>
              <w:ind w:firstLineChars="0" w:firstLine="0"/>
              <w:jc w:val="center"/>
              <w:rPr>
                <w:sz w:val="24"/>
              </w:rPr>
            </w:pPr>
            <w:r w:rsidRPr="00FD55D0">
              <w:rPr>
                <w:sz w:val="24"/>
              </w:rPr>
              <w:t>V</w:t>
            </w:r>
            <w:r w:rsidR="002F4BCA">
              <w:rPr>
                <w:rFonts w:hint="eastAsia"/>
                <w:sz w:val="24"/>
                <w:vertAlign w:val="subscript"/>
              </w:rPr>
              <w:t>ar</w:t>
            </w:r>
          </w:p>
        </w:tc>
        <w:tc>
          <w:tcPr>
            <w:tcW w:w="450" w:type="pct"/>
            <w:tcBorders>
              <w:top w:val="single" w:sz="4" w:space="0" w:color="auto"/>
              <w:left w:val="nil"/>
              <w:bottom w:val="single" w:sz="8" w:space="0" w:color="auto"/>
              <w:right w:val="nil"/>
            </w:tcBorders>
            <w:vAlign w:val="center"/>
          </w:tcPr>
          <w:p w14:paraId="7F887717" w14:textId="5688AFC8" w:rsidR="00FD55D0" w:rsidRPr="00FD55D0" w:rsidRDefault="00FD55D0" w:rsidP="00FD55D0">
            <w:pPr>
              <w:ind w:firstLineChars="0" w:firstLine="0"/>
              <w:jc w:val="center"/>
              <w:rPr>
                <w:sz w:val="24"/>
              </w:rPr>
            </w:pPr>
            <w:proofErr w:type="spellStart"/>
            <w:r w:rsidRPr="00FD55D0">
              <w:rPr>
                <w:sz w:val="24"/>
              </w:rPr>
              <w:t>FC</w:t>
            </w:r>
            <w:r w:rsidR="002F4BCA">
              <w:rPr>
                <w:rFonts w:hint="eastAsia"/>
                <w:sz w:val="24"/>
                <w:vertAlign w:val="subscript"/>
              </w:rPr>
              <w:t>ar</w:t>
            </w:r>
            <w:proofErr w:type="spellEnd"/>
          </w:p>
        </w:tc>
        <w:tc>
          <w:tcPr>
            <w:tcW w:w="446" w:type="pct"/>
            <w:tcBorders>
              <w:top w:val="single" w:sz="4" w:space="0" w:color="auto"/>
              <w:left w:val="nil"/>
              <w:bottom w:val="single" w:sz="8" w:space="0" w:color="auto"/>
              <w:right w:val="nil"/>
            </w:tcBorders>
            <w:vAlign w:val="center"/>
          </w:tcPr>
          <w:p w14:paraId="314DB8A6" w14:textId="43341390" w:rsidR="00FD55D0" w:rsidRPr="00FD55D0" w:rsidRDefault="00FD55D0" w:rsidP="00FD55D0">
            <w:pPr>
              <w:ind w:firstLineChars="0" w:firstLine="0"/>
              <w:jc w:val="center"/>
              <w:rPr>
                <w:sz w:val="24"/>
              </w:rPr>
            </w:pPr>
            <w:r w:rsidRPr="00FD55D0">
              <w:rPr>
                <w:sz w:val="24"/>
              </w:rPr>
              <w:t>N</w:t>
            </w:r>
            <w:r w:rsidRPr="00FD55D0">
              <w:rPr>
                <w:sz w:val="24"/>
                <w:vertAlign w:val="subscript"/>
              </w:rPr>
              <w:t>d</w:t>
            </w:r>
          </w:p>
        </w:tc>
        <w:tc>
          <w:tcPr>
            <w:tcW w:w="449" w:type="pct"/>
            <w:tcBorders>
              <w:top w:val="single" w:sz="4" w:space="0" w:color="auto"/>
              <w:left w:val="nil"/>
              <w:bottom w:val="single" w:sz="8" w:space="0" w:color="auto"/>
              <w:right w:val="nil"/>
            </w:tcBorders>
            <w:vAlign w:val="center"/>
          </w:tcPr>
          <w:p w14:paraId="0DB1858F" w14:textId="7670A3B9" w:rsidR="00FD55D0" w:rsidRPr="00FD55D0" w:rsidRDefault="00FD55D0" w:rsidP="00FD55D0">
            <w:pPr>
              <w:ind w:firstLineChars="0" w:firstLine="0"/>
              <w:jc w:val="center"/>
              <w:rPr>
                <w:sz w:val="24"/>
              </w:rPr>
            </w:pPr>
            <w:r w:rsidRPr="00FD55D0">
              <w:rPr>
                <w:sz w:val="24"/>
              </w:rPr>
              <w:t>C</w:t>
            </w:r>
            <w:r w:rsidRPr="00FD55D0">
              <w:rPr>
                <w:sz w:val="24"/>
                <w:vertAlign w:val="subscript"/>
              </w:rPr>
              <w:t>d</w:t>
            </w:r>
          </w:p>
        </w:tc>
        <w:tc>
          <w:tcPr>
            <w:tcW w:w="449" w:type="pct"/>
            <w:tcBorders>
              <w:top w:val="single" w:sz="4" w:space="0" w:color="auto"/>
              <w:left w:val="nil"/>
              <w:bottom w:val="single" w:sz="8" w:space="0" w:color="auto"/>
              <w:right w:val="nil"/>
            </w:tcBorders>
            <w:vAlign w:val="center"/>
          </w:tcPr>
          <w:p w14:paraId="6E5D7CD6" w14:textId="489A9884" w:rsidR="00FD55D0" w:rsidRPr="00FD55D0" w:rsidRDefault="00FD55D0" w:rsidP="00FD55D0">
            <w:pPr>
              <w:ind w:firstLineChars="0" w:firstLine="0"/>
              <w:jc w:val="center"/>
              <w:rPr>
                <w:sz w:val="24"/>
              </w:rPr>
            </w:pPr>
            <w:proofErr w:type="spellStart"/>
            <w:r w:rsidRPr="00FD55D0">
              <w:rPr>
                <w:sz w:val="24"/>
              </w:rPr>
              <w:t>H</w:t>
            </w:r>
            <w:r w:rsidRPr="00FD55D0">
              <w:rPr>
                <w:sz w:val="24"/>
                <w:vertAlign w:val="subscript"/>
              </w:rPr>
              <w:t>d</w:t>
            </w:r>
            <w:proofErr w:type="spellEnd"/>
          </w:p>
        </w:tc>
        <w:tc>
          <w:tcPr>
            <w:tcW w:w="455" w:type="pct"/>
            <w:tcBorders>
              <w:top w:val="single" w:sz="4" w:space="0" w:color="auto"/>
              <w:left w:val="nil"/>
              <w:bottom w:val="single" w:sz="8" w:space="0" w:color="auto"/>
              <w:right w:val="nil"/>
            </w:tcBorders>
            <w:vAlign w:val="center"/>
          </w:tcPr>
          <w:p w14:paraId="138B1F4C" w14:textId="5720CDF7" w:rsidR="00FD55D0" w:rsidRPr="00FD55D0" w:rsidRDefault="00FD55D0" w:rsidP="00FD55D0">
            <w:pPr>
              <w:ind w:firstLineChars="0" w:firstLine="0"/>
              <w:jc w:val="center"/>
              <w:rPr>
                <w:sz w:val="24"/>
              </w:rPr>
            </w:pPr>
            <w:r w:rsidRPr="00FD55D0">
              <w:rPr>
                <w:sz w:val="24"/>
              </w:rPr>
              <w:t>S</w:t>
            </w:r>
            <w:r w:rsidRPr="00FD55D0">
              <w:rPr>
                <w:sz w:val="24"/>
                <w:vertAlign w:val="subscript"/>
              </w:rPr>
              <w:t>d</w:t>
            </w:r>
          </w:p>
        </w:tc>
        <w:tc>
          <w:tcPr>
            <w:tcW w:w="442" w:type="pct"/>
            <w:tcBorders>
              <w:top w:val="single" w:sz="4" w:space="0" w:color="auto"/>
              <w:left w:val="nil"/>
              <w:bottom w:val="single" w:sz="8" w:space="0" w:color="auto"/>
              <w:right w:val="nil"/>
            </w:tcBorders>
            <w:vAlign w:val="center"/>
          </w:tcPr>
          <w:p w14:paraId="5B3C5C55" w14:textId="756A393E" w:rsidR="00FD55D0" w:rsidRPr="00FD55D0" w:rsidRDefault="00FD55D0" w:rsidP="00FD55D0">
            <w:pPr>
              <w:ind w:firstLineChars="0" w:firstLine="0"/>
              <w:jc w:val="center"/>
              <w:rPr>
                <w:sz w:val="24"/>
              </w:rPr>
            </w:pPr>
            <w:r w:rsidRPr="00FD55D0">
              <w:rPr>
                <w:sz w:val="24"/>
              </w:rPr>
              <w:t>O</w:t>
            </w:r>
            <w:r w:rsidRPr="00FD55D0">
              <w:rPr>
                <w:sz w:val="24"/>
                <w:vertAlign w:val="subscript"/>
              </w:rPr>
              <w:t>d</w:t>
            </w:r>
          </w:p>
        </w:tc>
      </w:tr>
      <w:tr w:rsidR="00014A18" w:rsidRPr="00FD55D0" w14:paraId="3287BC42" w14:textId="77777777" w:rsidTr="00014A18">
        <w:trPr>
          <w:trHeight w:val="224"/>
          <w:jc w:val="center"/>
        </w:trPr>
        <w:tc>
          <w:tcPr>
            <w:tcW w:w="546" w:type="pct"/>
            <w:vMerge w:val="restart"/>
            <w:tcBorders>
              <w:top w:val="single" w:sz="8" w:space="0" w:color="auto"/>
              <w:left w:val="nil"/>
              <w:bottom w:val="single" w:sz="8" w:space="0" w:color="auto"/>
              <w:right w:val="nil"/>
            </w:tcBorders>
            <w:vAlign w:val="center"/>
          </w:tcPr>
          <w:p w14:paraId="4CF00327" w14:textId="77777777" w:rsidR="00B24145" w:rsidRDefault="00B24145" w:rsidP="00B24145">
            <w:pPr>
              <w:ind w:firstLineChars="0" w:firstLine="0"/>
              <w:jc w:val="center"/>
              <w:rPr>
                <w:sz w:val="24"/>
              </w:rPr>
            </w:pPr>
            <w:r w:rsidRPr="00FD55D0">
              <w:rPr>
                <w:sz w:val="24"/>
              </w:rPr>
              <w:t>企业</w:t>
            </w:r>
            <w:r w:rsidRPr="00FD55D0">
              <w:rPr>
                <w:sz w:val="24"/>
              </w:rPr>
              <w:t>1</w:t>
            </w:r>
          </w:p>
          <w:p w14:paraId="428A4BEA" w14:textId="64D4F3A9" w:rsidR="00B24145" w:rsidRPr="00385AD9" w:rsidRDefault="00B24145" w:rsidP="00B24145">
            <w:pPr>
              <w:ind w:firstLineChars="0" w:firstLine="0"/>
              <w:jc w:val="center"/>
              <w:rPr>
                <w:sz w:val="24"/>
              </w:rPr>
            </w:pPr>
            <w:r>
              <w:rPr>
                <w:rFonts w:hint="eastAsia"/>
                <w:sz w:val="24"/>
              </w:rPr>
              <w:t>180t/h</w:t>
            </w:r>
            <w:r>
              <w:rPr>
                <w:rFonts w:hint="eastAsia"/>
                <w:sz w:val="24"/>
              </w:rPr>
              <w:t>流化床</w:t>
            </w:r>
          </w:p>
        </w:tc>
        <w:tc>
          <w:tcPr>
            <w:tcW w:w="418" w:type="pct"/>
            <w:tcBorders>
              <w:top w:val="single" w:sz="8" w:space="0" w:color="auto"/>
              <w:left w:val="nil"/>
              <w:bottom w:val="nil"/>
              <w:right w:val="nil"/>
            </w:tcBorders>
            <w:vAlign w:val="center"/>
          </w:tcPr>
          <w:p w14:paraId="1763EEDF" w14:textId="67A6A016" w:rsidR="00B24145" w:rsidRPr="00FD55D0" w:rsidRDefault="00B24145" w:rsidP="00B24145">
            <w:pPr>
              <w:ind w:firstLineChars="0" w:firstLine="0"/>
              <w:jc w:val="center"/>
              <w:rPr>
                <w:sz w:val="24"/>
              </w:rPr>
            </w:pPr>
            <w:r w:rsidRPr="00FD55D0">
              <w:rPr>
                <w:sz w:val="24"/>
              </w:rPr>
              <w:t>燃料</w:t>
            </w:r>
          </w:p>
        </w:tc>
        <w:tc>
          <w:tcPr>
            <w:tcW w:w="449" w:type="pct"/>
            <w:tcBorders>
              <w:top w:val="single" w:sz="8" w:space="0" w:color="auto"/>
              <w:left w:val="nil"/>
              <w:bottom w:val="nil"/>
              <w:right w:val="nil"/>
            </w:tcBorders>
            <w:vAlign w:val="center"/>
          </w:tcPr>
          <w:p w14:paraId="15C50F15" w14:textId="43722760" w:rsidR="00B24145" w:rsidRPr="00385AD9" w:rsidRDefault="00B24145" w:rsidP="00B24145">
            <w:pPr>
              <w:ind w:firstLineChars="0" w:firstLine="0"/>
              <w:jc w:val="center"/>
              <w:rPr>
                <w:sz w:val="24"/>
              </w:rPr>
            </w:pPr>
            <w:r w:rsidRPr="00FD55D0">
              <w:rPr>
                <w:sz w:val="24"/>
              </w:rPr>
              <w:t>5</w:t>
            </w:r>
            <w:r w:rsidR="002F4BCA">
              <w:rPr>
                <w:rFonts w:hint="eastAsia"/>
                <w:sz w:val="24"/>
              </w:rPr>
              <w:t>1</w:t>
            </w:r>
            <w:r w:rsidRPr="00FD55D0">
              <w:rPr>
                <w:sz w:val="24"/>
              </w:rPr>
              <w:t>.34</w:t>
            </w:r>
          </w:p>
        </w:tc>
        <w:tc>
          <w:tcPr>
            <w:tcW w:w="448" w:type="pct"/>
            <w:tcBorders>
              <w:top w:val="single" w:sz="8" w:space="0" w:color="auto"/>
              <w:left w:val="nil"/>
              <w:bottom w:val="nil"/>
              <w:right w:val="nil"/>
            </w:tcBorders>
          </w:tcPr>
          <w:p w14:paraId="50D152F8" w14:textId="3170CBF8" w:rsidR="00B24145" w:rsidRPr="00B24145" w:rsidRDefault="002F4BCA" w:rsidP="00B24145">
            <w:pPr>
              <w:ind w:firstLineChars="0" w:firstLine="0"/>
              <w:jc w:val="center"/>
              <w:rPr>
                <w:sz w:val="24"/>
                <w:szCs w:val="21"/>
              </w:rPr>
            </w:pPr>
            <w:r>
              <w:rPr>
                <w:rFonts w:hint="eastAsia"/>
                <w:sz w:val="24"/>
                <w:szCs w:val="21"/>
              </w:rPr>
              <w:t>1.34</w:t>
            </w:r>
          </w:p>
        </w:tc>
        <w:tc>
          <w:tcPr>
            <w:tcW w:w="448" w:type="pct"/>
            <w:tcBorders>
              <w:top w:val="single" w:sz="8" w:space="0" w:color="auto"/>
              <w:left w:val="nil"/>
              <w:bottom w:val="nil"/>
              <w:right w:val="nil"/>
            </w:tcBorders>
          </w:tcPr>
          <w:p w14:paraId="58237445" w14:textId="7D52447E" w:rsidR="00B24145" w:rsidRPr="00B24145" w:rsidRDefault="002F4BCA" w:rsidP="00B24145">
            <w:pPr>
              <w:ind w:firstLineChars="0" w:firstLine="0"/>
              <w:jc w:val="center"/>
              <w:rPr>
                <w:sz w:val="24"/>
                <w:szCs w:val="21"/>
              </w:rPr>
            </w:pPr>
            <w:r>
              <w:rPr>
                <w:rFonts w:hint="eastAsia"/>
                <w:sz w:val="24"/>
                <w:szCs w:val="21"/>
              </w:rPr>
              <w:t>40.72</w:t>
            </w:r>
          </w:p>
        </w:tc>
        <w:tc>
          <w:tcPr>
            <w:tcW w:w="450" w:type="pct"/>
            <w:tcBorders>
              <w:top w:val="single" w:sz="8" w:space="0" w:color="auto"/>
              <w:left w:val="nil"/>
              <w:bottom w:val="nil"/>
              <w:right w:val="nil"/>
            </w:tcBorders>
          </w:tcPr>
          <w:p w14:paraId="4124F844" w14:textId="022327A0" w:rsidR="00B24145" w:rsidRPr="00B24145" w:rsidRDefault="002F4BCA" w:rsidP="00B24145">
            <w:pPr>
              <w:ind w:firstLineChars="0" w:firstLine="0"/>
              <w:jc w:val="center"/>
              <w:rPr>
                <w:sz w:val="24"/>
                <w:szCs w:val="21"/>
              </w:rPr>
            </w:pPr>
            <w:r>
              <w:rPr>
                <w:rFonts w:hint="eastAsia"/>
                <w:sz w:val="24"/>
                <w:szCs w:val="21"/>
              </w:rPr>
              <w:t>6.6</w:t>
            </w:r>
          </w:p>
        </w:tc>
        <w:tc>
          <w:tcPr>
            <w:tcW w:w="446" w:type="pct"/>
            <w:tcBorders>
              <w:top w:val="single" w:sz="8" w:space="0" w:color="auto"/>
              <w:left w:val="nil"/>
              <w:bottom w:val="nil"/>
              <w:right w:val="nil"/>
            </w:tcBorders>
          </w:tcPr>
          <w:p w14:paraId="08386F59" w14:textId="24E3A778" w:rsidR="00B24145" w:rsidRPr="00B24145" w:rsidRDefault="00B24145" w:rsidP="00B24145">
            <w:pPr>
              <w:ind w:firstLineChars="0" w:firstLine="0"/>
              <w:jc w:val="center"/>
              <w:rPr>
                <w:sz w:val="24"/>
              </w:rPr>
            </w:pPr>
            <w:r w:rsidRPr="00B24145">
              <w:rPr>
                <w:sz w:val="24"/>
              </w:rPr>
              <w:t>0.18</w:t>
            </w:r>
          </w:p>
        </w:tc>
        <w:tc>
          <w:tcPr>
            <w:tcW w:w="449" w:type="pct"/>
            <w:tcBorders>
              <w:top w:val="single" w:sz="8" w:space="0" w:color="auto"/>
              <w:left w:val="nil"/>
              <w:bottom w:val="nil"/>
              <w:right w:val="nil"/>
            </w:tcBorders>
          </w:tcPr>
          <w:p w14:paraId="4256A12E" w14:textId="27E4576F" w:rsidR="00B24145" w:rsidRPr="00B24145" w:rsidRDefault="00B24145" w:rsidP="00B24145">
            <w:pPr>
              <w:ind w:firstLineChars="0" w:firstLine="0"/>
              <w:jc w:val="center"/>
              <w:rPr>
                <w:sz w:val="24"/>
              </w:rPr>
            </w:pPr>
            <w:r w:rsidRPr="00B24145">
              <w:rPr>
                <w:sz w:val="24"/>
              </w:rPr>
              <w:t>30.8</w:t>
            </w:r>
          </w:p>
        </w:tc>
        <w:tc>
          <w:tcPr>
            <w:tcW w:w="449" w:type="pct"/>
            <w:tcBorders>
              <w:top w:val="single" w:sz="8" w:space="0" w:color="auto"/>
              <w:left w:val="nil"/>
              <w:bottom w:val="nil"/>
              <w:right w:val="nil"/>
            </w:tcBorders>
          </w:tcPr>
          <w:p w14:paraId="41F4AF6C" w14:textId="21619E36" w:rsidR="00B24145" w:rsidRPr="00B24145" w:rsidRDefault="00B24145" w:rsidP="00B24145">
            <w:pPr>
              <w:ind w:firstLineChars="0" w:firstLine="0"/>
              <w:jc w:val="center"/>
              <w:rPr>
                <w:sz w:val="24"/>
              </w:rPr>
            </w:pPr>
            <w:r w:rsidRPr="00B24145">
              <w:rPr>
                <w:sz w:val="24"/>
              </w:rPr>
              <w:t>3.72</w:t>
            </w:r>
          </w:p>
        </w:tc>
        <w:tc>
          <w:tcPr>
            <w:tcW w:w="455" w:type="pct"/>
            <w:tcBorders>
              <w:top w:val="single" w:sz="8" w:space="0" w:color="auto"/>
              <w:left w:val="nil"/>
              <w:bottom w:val="nil"/>
              <w:right w:val="nil"/>
            </w:tcBorders>
          </w:tcPr>
          <w:p w14:paraId="05A4BAE4" w14:textId="35948325" w:rsidR="00B24145" w:rsidRPr="00B24145" w:rsidRDefault="00B24145" w:rsidP="00B24145">
            <w:pPr>
              <w:ind w:firstLineChars="0" w:firstLine="0"/>
              <w:jc w:val="center"/>
              <w:rPr>
                <w:sz w:val="24"/>
              </w:rPr>
            </w:pPr>
            <w:r w:rsidRPr="00B24145">
              <w:rPr>
                <w:sz w:val="24"/>
              </w:rPr>
              <w:t>0</w:t>
            </w:r>
          </w:p>
        </w:tc>
        <w:tc>
          <w:tcPr>
            <w:tcW w:w="442" w:type="pct"/>
            <w:tcBorders>
              <w:top w:val="single" w:sz="8" w:space="0" w:color="auto"/>
              <w:left w:val="nil"/>
              <w:bottom w:val="nil"/>
              <w:right w:val="nil"/>
            </w:tcBorders>
            <w:vAlign w:val="center"/>
          </w:tcPr>
          <w:p w14:paraId="2899E234" w14:textId="653C9D72" w:rsidR="00B24145" w:rsidRPr="00FD55D0" w:rsidRDefault="00BC22DE" w:rsidP="00B24145">
            <w:pPr>
              <w:ind w:firstLineChars="0" w:firstLine="0"/>
              <w:jc w:val="center"/>
              <w:rPr>
                <w:sz w:val="24"/>
              </w:rPr>
            </w:pPr>
            <w:r>
              <w:rPr>
                <w:rFonts w:hint="eastAsia"/>
                <w:sz w:val="24"/>
              </w:rPr>
              <w:t>47</w:t>
            </w:r>
            <w:r w:rsidR="00B24145" w:rsidRPr="00B24145">
              <w:rPr>
                <w:sz w:val="24"/>
              </w:rPr>
              <w:t>.</w:t>
            </w:r>
            <w:r>
              <w:rPr>
                <w:rFonts w:hint="eastAsia"/>
                <w:sz w:val="24"/>
              </w:rPr>
              <w:t>55</w:t>
            </w:r>
          </w:p>
        </w:tc>
      </w:tr>
      <w:tr w:rsidR="00B24145" w:rsidRPr="00FD55D0" w14:paraId="188B1B91" w14:textId="77777777" w:rsidTr="00014A18">
        <w:trPr>
          <w:trHeight w:val="224"/>
          <w:jc w:val="center"/>
        </w:trPr>
        <w:tc>
          <w:tcPr>
            <w:tcW w:w="546" w:type="pct"/>
            <w:vMerge/>
            <w:tcBorders>
              <w:top w:val="single" w:sz="4" w:space="0" w:color="auto"/>
              <w:left w:val="nil"/>
              <w:bottom w:val="single" w:sz="8" w:space="0" w:color="auto"/>
              <w:right w:val="nil"/>
            </w:tcBorders>
            <w:vAlign w:val="center"/>
          </w:tcPr>
          <w:p w14:paraId="3C316F6E" w14:textId="77777777" w:rsidR="00B24145" w:rsidRPr="00385AD9" w:rsidRDefault="00B24145" w:rsidP="00B24145">
            <w:pPr>
              <w:ind w:firstLineChars="0" w:firstLine="0"/>
              <w:jc w:val="center"/>
              <w:rPr>
                <w:sz w:val="24"/>
              </w:rPr>
            </w:pPr>
          </w:p>
        </w:tc>
        <w:tc>
          <w:tcPr>
            <w:tcW w:w="418" w:type="pct"/>
            <w:tcBorders>
              <w:top w:val="nil"/>
              <w:left w:val="nil"/>
              <w:bottom w:val="nil"/>
              <w:right w:val="nil"/>
            </w:tcBorders>
            <w:vAlign w:val="center"/>
          </w:tcPr>
          <w:p w14:paraId="4F8C9757" w14:textId="06E114F9" w:rsidR="00B24145" w:rsidRPr="00385AD9" w:rsidRDefault="00B24145" w:rsidP="00B24145">
            <w:pPr>
              <w:ind w:firstLineChars="0" w:firstLine="0"/>
              <w:jc w:val="center"/>
              <w:rPr>
                <w:sz w:val="24"/>
              </w:rPr>
            </w:pPr>
            <w:r w:rsidRPr="00385AD9">
              <w:rPr>
                <w:sz w:val="24"/>
              </w:rPr>
              <w:t>飞灰</w:t>
            </w:r>
          </w:p>
        </w:tc>
        <w:tc>
          <w:tcPr>
            <w:tcW w:w="449" w:type="pct"/>
            <w:tcBorders>
              <w:top w:val="nil"/>
              <w:left w:val="nil"/>
              <w:bottom w:val="nil"/>
              <w:right w:val="nil"/>
            </w:tcBorders>
          </w:tcPr>
          <w:p w14:paraId="5F96D047" w14:textId="4CAD360C" w:rsidR="00B24145" w:rsidRPr="00B24145" w:rsidRDefault="00BC22DE" w:rsidP="00B24145">
            <w:pPr>
              <w:ind w:firstLineChars="0" w:firstLine="0"/>
              <w:jc w:val="center"/>
              <w:rPr>
                <w:sz w:val="24"/>
              </w:rPr>
            </w:pPr>
            <w:r>
              <w:rPr>
                <w:rFonts w:hint="eastAsia"/>
                <w:sz w:val="24"/>
              </w:rPr>
              <w:t>9.10</w:t>
            </w:r>
          </w:p>
        </w:tc>
        <w:tc>
          <w:tcPr>
            <w:tcW w:w="448" w:type="pct"/>
            <w:tcBorders>
              <w:top w:val="nil"/>
              <w:left w:val="nil"/>
              <w:bottom w:val="nil"/>
              <w:right w:val="nil"/>
            </w:tcBorders>
          </w:tcPr>
          <w:p w14:paraId="37C10E4F" w14:textId="2DE082B4" w:rsidR="00B24145" w:rsidRPr="00B24145" w:rsidRDefault="00971992" w:rsidP="00B24145">
            <w:pPr>
              <w:ind w:firstLineChars="0" w:firstLine="0"/>
              <w:jc w:val="center"/>
              <w:rPr>
                <w:sz w:val="24"/>
              </w:rPr>
            </w:pPr>
            <w:r>
              <w:rPr>
                <w:rFonts w:hint="eastAsia"/>
                <w:sz w:val="24"/>
              </w:rPr>
              <w:t>86</w:t>
            </w:r>
            <w:r w:rsidR="00BC22DE">
              <w:rPr>
                <w:rFonts w:hint="eastAsia"/>
                <w:sz w:val="24"/>
              </w:rPr>
              <w:t>.84</w:t>
            </w:r>
          </w:p>
        </w:tc>
        <w:tc>
          <w:tcPr>
            <w:tcW w:w="448" w:type="pct"/>
            <w:tcBorders>
              <w:top w:val="nil"/>
              <w:left w:val="nil"/>
              <w:bottom w:val="nil"/>
              <w:right w:val="nil"/>
            </w:tcBorders>
          </w:tcPr>
          <w:p w14:paraId="044EB05D" w14:textId="169B305E" w:rsidR="00B24145" w:rsidRPr="00B24145" w:rsidRDefault="00BC22DE" w:rsidP="00B24145">
            <w:pPr>
              <w:ind w:firstLineChars="0" w:firstLine="0"/>
              <w:jc w:val="center"/>
              <w:rPr>
                <w:sz w:val="24"/>
              </w:rPr>
            </w:pPr>
            <w:r>
              <w:rPr>
                <w:rFonts w:hint="eastAsia"/>
                <w:sz w:val="24"/>
              </w:rPr>
              <w:t>1.04</w:t>
            </w:r>
          </w:p>
        </w:tc>
        <w:tc>
          <w:tcPr>
            <w:tcW w:w="450" w:type="pct"/>
            <w:tcBorders>
              <w:top w:val="nil"/>
              <w:left w:val="nil"/>
              <w:bottom w:val="nil"/>
              <w:right w:val="nil"/>
            </w:tcBorders>
          </w:tcPr>
          <w:p w14:paraId="59D09415" w14:textId="254A802B" w:rsidR="00B24145" w:rsidRPr="00B24145" w:rsidRDefault="00971992" w:rsidP="00B24145">
            <w:pPr>
              <w:ind w:firstLineChars="0" w:firstLine="0"/>
              <w:jc w:val="center"/>
              <w:rPr>
                <w:sz w:val="24"/>
              </w:rPr>
            </w:pPr>
            <w:r>
              <w:rPr>
                <w:rFonts w:hint="eastAsia"/>
                <w:sz w:val="24"/>
              </w:rPr>
              <w:t>3</w:t>
            </w:r>
            <w:r w:rsidR="00BC22DE">
              <w:rPr>
                <w:rFonts w:hint="eastAsia"/>
                <w:sz w:val="24"/>
              </w:rPr>
              <w:t>.02</w:t>
            </w:r>
          </w:p>
        </w:tc>
        <w:tc>
          <w:tcPr>
            <w:tcW w:w="446" w:type="pct"/>
            <w:tcBorders>
              <w:top w:val="nil"/>
              <w:left w:val="nil"/>
              <w:bottom w:val="nil"/>
              <w:right w:val="nil"/>
            </w:tcBorders>
          </w:tcPr>
          <w:p w14:paraId="31CDE197" w14:textId="62439248" w:rsidR="00B24145" w:rsidRPr="00B24145" w:rsidRDefault="00B24145" w:rsidP="00B24145">
            <w:pPr>
              <w:ind w:firstLineChars="0" w:firstLine="0"/>
              <w:jc w:val="center"/>
              <w:rPr>
                <w:sz w:val="24"/>
              </w:rPr>
            </w:pPr>
            <w:r w:rsidRPr="00B24145">
              <w:rPr>
                <w:sz w:val="24"/>
              </w:rPr>
              <w:t>0.03</w:t>
            </w:r>
          </w:p>
        </w:tc>
        <w:tc>
          <w:tcPr>
            <w:tcW w:w="449" w:type="pct"/>
            <w:tcBorders>
              <w:top w:val="nil"/>
              <w:left w:val="nil"/>
              <w:bottom w:val="nil"/>
              <w:right w:val="nil"/>
            </w:tcBorders>
          </w:tcPr>
          <w:p w14:paraId="42543047" w14:textId="76C0A0C8" w:rsidR="00B24145" w:rsidRPr="00B24145" w:rsidRDefault="00971992" w:rsidP="00B24145">
            <w:pPr>
              <w:ind w:firstLineChars="0" w:firstLine="0"/>
              <w:jc w:val="center"/>
              <w:rPr>
                <w:sz w:val="24"/>
              </w:rPr>
            </w:pPr>
            <w:r>
              <w:rPr>
                <w:rFonts w:hint="eastAsia"/>
                <w:sz w:val="24"/>
              </w:rPr>
              <w:t>4.27</w:t>
            </w:r>
          </w:p>
        </w:tc>
        <w:tc>
          <w:tcPr>
            <w:tcW w:w="449" w:type="pct"/>
            <w:tcBorders>
              <w:top w:val="nil"/>
              <w:left w:val="nil"/>
              <w:bottom w:val="nil"/>
              <w:right w:val="nil"/>
            </w:tcBorders>
          </w:tcPr>
          <w:p w14:paraId="32CCE624" w14:textId="187FA912" w:rsidR="00B24145" w:rsidRPr="00B24145" w:rsidRDefault="00B24145" w:rsidP="00B24145">
            <w:pPr>
              <w:ind w:firstLineChars="0" w:firstLine="0"/>
              <w:jc w:val="center"/>
              <w:rPr>
                <w:sz w:val="24"/>
              </w:rPr>
            </w:pPr>
            <w:r w:rsidRPr="00B24145">
              <w:rPr>
                <w:sz w:val="24"/>
              </w:rPr>
              <w:t>0</w:t>
            </w:r>
          </w:p>
        </w:tc>
        <w:tc>
          <w:tcPr>
            <w:tcW w:w="455" w:type="pct"/>
            <w:tcBorders>
              <w:top w:val="nil"/>
              <w:left w:val="nil"/>
              <w:bottom w:val="nil"/>
              <w:right w:val="nil"/>
            </w:tcBorders>
          </w:tcPr>
          <w:p w14:paraId="79A5BE74" w14:textId="4ADB94DC" w:rsidR="00B24145" w:rsidRPr="00B24145" w:rsidRDefault="00B24145" w:rsidP="00B24145">
            <w:pPr>
              <w:ind w:firstLineChars="0" w:firstLine="0"/>
              <w:jc w:val="center"/>
              <w:rPr>
                <w:sz w:val="24"/>
              </w:rPr>
            </w:pPr>
            <w:r w:rsidRPr="00B24145">
              <w:rPr>
                <w:sz w:val="24"/>
              </w:rPr>
              <w:t>0.06</w:t>
            </w:r>
          </w:p>
        </w:tc>
        <w:tc>
          <w:tcPr>
            <w:tcW w:w="442" w:type="pct"/>
            <w:tcBorders>
              <w:top w:val="nil"/>
              <w:left w:val="nil"/>
              <w:bottom w:val="nil"/>
              <w:right w:val="nil"/>
            </w:tcBorders>
            <w:vAlign w:val="center"/>
          </w:tcPr>
          <w:p w14:paraId="66885E00" w14:textId="76717766" w:rsidR="00B24145" w:rsidRPr="00B24145" w:rsidRDefault="00BC22DE" w:rsidP="00B24145">
            <w:pPr>
              <w:ind w:firstLineChars="0" w:firstLine="0"/>
              <w:jc w:val="center"/>
              <w:rPr>
                <w:sz w:val="24"/>
              </w:rPr>
            </w:pPr>
            <w:r>
              <w:rPr>
                <w:rFonts w:hint="eastAsia"/>
                <w:sz w:val="24"/>
              </w:rPr>
              <w:t>0</w:t>
            </w:r>
            <w:r w:rsidR="00B24145" w:rsidRPr="00B24145">
              <w:rPr>
                <w:sz w:val="24"/>
              </w:rPr>
              <w:t>.</w:t>
            </w:r>
            <w:r w:rsidR="00971992">
              <w:rPr>
                <w:rFonts w:hint="eastAsia"/>
                <w:sz w:val="24"/>
              </w:rPr>
              <w:t>11</w:t>
            </w:r>
          </w:p>
        </w:tc>
      </w:tr>
      <w:tr w:rsidR="00014A18" w:rsidRPr="00FD55D0" w14:paraId="27DD7954" w14:textId="77777777" w:rsidTr="00014A18">
        <w:trPr>
          <w:trHeight w:val="224"/>
          <w:jc w:val="center"/>
        </w:trPr>
        <w:tc>
          <w:tcPr>
            <w:tcW w:w="546" w:type="pct"/>
            <w:vMerge/>
            <w:tcBorders>
              <w:top w:val="single" w:sz="4" w:space="0" w:color="auto"/>
              <w:left w:val="nil"/>
              <w:bottom w:val="single" w:sz="8" w:space="0" w:color="auto"/>
              <w:right w:val="nil"/>
            </w:tcBorders>
            <w:vAlign w:val="center"/>
          </w:tcPr>
          <w:p w14:paraId="4FC16B09" w14:textId="77777777" w:rsidR="00B24145" w:rsidRPr="00385AD9" w:rsidRDefault="00B24145" w:rsidP="00B24145">
            <w:pPr>
              <w:ind w:firstLineChars="0" w:firstLine="0"/>
              <w:jc w:val="center"/>
              <w:rPr>
                <w:sz w:val="24"/>
              </w:rPr>
            </w:pPr>
          </w:p>
        </w:tc>
        <w:tc>
          <w:tcPr>
            <w:tcW w:w="418" w:type="pct"/>
            <w:tcBorders>
              <w:top w:val="nil"/>
              <w:left w:val="nil"/>
              <w:bottom w:val="single" w:sz="8" w:space="0" w:color="auto"/>
              <w:right w:val="nil"/>
            </w:tcBorders>
            <w:vAlign w:val="center"/>
          </w:tcPr>
          <w:p w14:paraId="4A341674" w14:textId="03EE3A00" w:rsidR="00B24145" w:rsidRPr="00385AD9" w:rsidRDefault="00B24145" w:rsidP="00B24145">
            <w:pPr>
              <w:ind w:firstLineChars="0" w:firstLine="0"/>
              <w:jc w:val="center"/>
              <w:rPr>
                <w:sz w:val="24"/>
              </w:rPr>
            </w:pPr>
            <w:proofErr w:type="gramStart"/>
            <w:r w:rsidRPr="00385AD9">
              <w:rPr>
                <w:sz w:val="24"/>
              </w:rPr>
              <w:t>底渣</w:t>
            </w:r>
            <w:proofErr w:type="gramEnd"/>
          </w:p>
        </w:tc>
        <w:tc>
          <w:tcPr>
            <w:tcW w:w="449" w:type="pct"/>
            <w:tcBorders>
              <w:top w:val="nil"/>
              <w:left w:val="nil"/>
              <w:bottom w:val="single" w:sz="8" w:space="0" w:color="auto"/>
              <w:right w:val="nil"/>
            </w:tcBorders>
            <w:vAlign w:val="center"/>
          </w:tcPr>
          <w:p w14:paraId="4B4E4658" w14:textId="629504BA" w:rsidR="00B24145" w:rsidRPr="00B24145" w:rsidRDefault="00B24145" w:rsidP="00B24145">
            <w:pPr>
              <w:ind w:firstLineChars="0" w:firstLine="0"/>
              <w:jc w:val="center"/>
              <w:rPr>
                <w:sz w:val="24"/>
              </w:rPr>
            </w:pPr>
            <w:r w:rsidRPr="00FD55D0">
              <w:rPr>
                <w:sz w:val="24"/>
              </w:rPr>
              <w:t>0.36</w:t>
            </w:r>
          </w:p>
        </w:tc>
        <w:tc>
          <w:tcPr>
            <w:tcW w:w="448" w:type="pct"/>
            <w:tcBorders>
              <w:top w:val="nil"/>
              <w:left w:val="nil"/>
              <w:bottom w:val="single" w:sz="8" w:space="0" w:color="auto"/>
              <w:right w:val="nil"/>
            </w:tcBorders>
          </w:tcPr>
          <w:p w14:paraId="14ED6E85" w14:textId="2A66EA0A" w:rsidR="00B24145" w:rsidRPr="00B24145" w:rsidRDefault="00B24145" w:rsidP="00B24145">
            <w:pPr>
              <w:ind w:firstLineChars="0" w:firstLine="0"/>
              <w:jc w:val="center"/>
              <w:rPr>
                <w:sz w:val="24"/>
              </w:rPr>
            </w:pPr>
            <w:r w:rsidRPr="00B24145">
              <w:rPr>
                <w:sz w:val="24"/>
              </w:rPr>
              <w:t>9</w:t>
            </w:r>
            <w:r w:rsidR="00971992">
              <w:rPr>
                <w:rFonts w:hint="eastAsia"/>
                <w:sz w:val="24"/>
              </w:rPr>
              <w:t>7</w:t>
            </w:r>
            <w:r w:rsidR="00BC22DE">
              <w:rPr>
                <w:rFonts w:hint="eastAsia"/>
                <w:sz w:val="24"/>
              </w:rPr>
              <w:t>.</w:t>
            </w:r>
            <w:r w:rsidR="00971992">
              <w:rPr>
                <w:rFonts w:hint="eastAsia"/>
                <w:sz w:val="24"/>
              </w:rPr>
              <w:t>21</w:t>
            </w:r>
          </w:p>
        </w:tc>
        <w:tc>
          <w:tcPr>
            <w:tcW w:w="448" w:type="pct"/>
            <w:tcBorders>
              <w:top w:val="nil"/>
              <w:left w:val="nil"/>
              <w:bottom w:val="single" w:sz="8" w:space="0" w:color="auto"/>
              <w:right w:val="nil"/>
            </w:tcBorders>
          </w:tcPr>
          <w:p w14:paraId="73B5A1E8" w14:textId="39A7C989" w:rsidR="00B24145" w:rsidRPr="00B24145" w:rsidRDefault="00971992" w:rsidP="00B24145">
            <w:pPr>
              <w:ind w:firstLineChars="0" w:firstLine="0"/>
              <w:jc w:val="center"/>
              <w:rPr>
                <w:sz w:val="24"/>
              </w:rPr>
            </w:pPr>
            <w:r>
              <w:rPr>
                <w:rFonts w:hint="eastAsia"/>
                <w:sz w:val="24"/>
              </w:rPr>
              <w:t>0.92</w:t>
            </w:r>
          </w:p>
        </w:tc>
        <w:tc>
          <w:tcPr>
            <w:tcW w:w="450" w:type="pct"/>
            <w:tcBorders>
              <w:top w:val="nil"/>
              <w:left w:val="nil"/>
              <w:bottom w:val="single" w:sz="8" w:space="0" w:color="auto"/>
              <w:right w:val="nil"/>
            </w:tcBorders>
          </w:tcPr>
          <w:p w14:paraId="1A1126F6" w14:textId="696921AA" w:rsidR="00B24145" w:rsidRPr="00B24145" w:rsidRDefault="00971992" w:rsidP="00B24145">
            <w:pPr>
              <w:ind w:firstLineChars="0" w:firstLine="0"/>
              <w:jc w:val="center"/>
              <w:rPr>
                <w:sz w:val="24"/>
              </w:rPr>
            </w:pPr>
            <w:r>
              <w:rPr>
                <w:rFonts w:hint="eastAsia"/>
                <w:sz w:val="24"/>
              </w:rPr>
              <w:t>1.51</w:t>
            </w:r>
          </w:p>
        </w:tc>
        <w:tc>
          <w:tcPr>
            <w:tcW w:w="446" w:type="pct"/>
            <w:tcBorders>
              <w:top w:val="nil"/>
              <w:left w:val="nil"/>
              <w:bottom w:val="single" w:sz="8" w:space="0" w:color="auto"/>
              <w:right w:val="nil"/>
            </w:tcBorders>
          </w:tcPr>
          <w:p w14:paraId="1F107194" w14:textId="14ADF21D" w:rsidR="00B24145" w:rsidRPr="00B24145" w:rsidRDefault="00B24145" w:rsidP="00B24145">
            <w:pPr>
              <w:ind w:firstLineChars="0" w:firstLine="0"/>
              <w:jc w:val="center"/>
              <w:rPr>
                <w:sz w:val="24"/>
              </w:rPr>
            </w:pPr>
            <w:r w:rsidRPr="00B24145">
              <w:rPr>
                <w:sz w:val="24"/>
              </w:rPr>
              <w:t>0</w:t>
            </w:r>
          </w:p>
        </w:tc>
        <w:tc>
          <w:tcPr>
            <w:tcW w:w="449" w:type="pct"/>
            <w:tcBorders>
              <w:top w:val="nil"/>
              <w:left w:val="nil"/>
              <w:bottom w:val="single" w:sz="8" w:space="0" w:color="auto"/>
              <w:right w:val="nil"/>
            </w:tcBorders>
          </w:tcPr>
          <w:p w14:paraId="54E1F5CF" w14:textId="47211FFC" w:rsidR="00B24145" w:rsidRPr="00B24145" w:rsidRDefault="00971992" w:rsidP="00B24145">
            <w:pPr>
              <w:ind w:firstLineChars="0" w:firstLine="0"/>
              <w:jc w:val="center"/>
              <w:rPr>
                <w:sz w:val="24"/>
              </w:rPr>
            </w:pPr>
            <w:r>
              <w:rPr>
                <w:rFonts w:hint="eastAsia"/>
                <w:sz w:val="24"/>
              </w:rPr>
              <w:t>1.93</w:t>
            </w:r>
          </w:p>
        </w:tc>
        <w:tc>
          <w:tcPr>
            <w:tcW w:w="449" w:type="pct"/>
            <w:tcBorders>
              <w:top w:val="nil"/>
              <w:left w:val="nil"/>
              <w:bottom w:val="single" w:sz="8" w:space="0" w:color="auto"/>
              <w:right w:val="nil"/>
            </w:tcBorders>
          </w:tcPr>
          <w:p w14:paraId="7B9FE521" w14:textId="03446BF3" w:rsidR="00B24145" w:rsidRPr="00B24145" w:rsidRDefault="00B24145" w:rsidP="00B24145">
            <w:pPr>
              <w:ind w:firstLineChars="0" w:firstLine="0"/>
              <w:jc w:val="center"/>
              <w:rPr>
                <w:sz w:val="24"/>
              </w:rPr>
            </w:pPr>
            <w:r w:rsidRPr="00B24145">
              <w:rPr>
                <w:sz w:val="24"/>
              </w:rPr>
              <w:t>0</w:t>
            </w:r>
          </w:p>
        </w:tc>
        <w:tc>
          <w:tcPr>
            <w:tcW w:w="455" w:type="pct"/>
            <w:tcBorders>
              <w:top w:val="nil"/>
              <w:left w:val="nil"/>
              <w:bottom w:val="single" w:sz="8" w:space="0" w:color="auto"/>
              <w:right w:val="nil"/>
            </w:tcBorders>
          </w:tcPr>
          <w:p w14:paraId="40262883" w14:textId="2CFB2154" w:rsidR="00B24145" w:rsidRPr="00B24145" w:rsidRDefault="00B24145" w:rsidP="00B24145">
            <w:pPr>
              <w:ind w:firstLineChars="0" w:firstLine="0"/>
              <w:jc w:val="center"/>
              <w:rPr>
                <w:sz w:val="24"/>
              </w:rPr>
            </w:pPr>
            <w:r w:rsidRPr="00B24145">
              <w:rPr>
                <w:sz w:val="24"/>
              </w:rPr>
              <w:t>0.02</w:t>
            </w:r>
          </w:p>
        </w:tc>
        <w:tc>
          <w:tcPr>
            <w:tcW w:w="442" w:type="pct"/>
            <w:tcBorders>
              <w:top w:val="nil"/>
              <w:left w:val="nil"/>
              <w:bottom w:val="single" w:sz="8" w:space="0" w:color="auto"/>
              <w:right w:val="nil"/>
            </w:tcBorders>
            <w:vAlign w:val="center"/>
          </w:tcPr>
          <w:p w14:paraId="12ECF772" w14:textId="534A6B3A" w:rsidR="00B24145" w:rsidRPr="00B24145" w:rsidRDefault="00971992" w:rsidP="00B24145">
            <w:pPr>
              <w:ind w:firstLineChars="0" w:firstLine="0"/>
              <w:jc w:val="center"/>
              <w:rPr>
                <w:sz w:val="24"/>
              </w:rPr>
            </w:pPr>
            <w:r>
              <w:rPr>
                <w:rFonts w:hint="eastAsia"/>
                <w:sz w:val="24"/>
              </w:rPr>
              <w:t>0.49</w:t>
            </w:r>
          </w:p>
        </w:tc>
      </w:tr>
      <w:tr w:rsidR="00971992" w:rsidRPr="00FD55D0" w14:paraId="506F1166" w14:textId="77777777" w:rsidTr="00014A18">
        <w:trPr>
          <w:trHeight w:val="224"/>
          <w:jc w:val="center"/>
        </w:trPr>
        <w:tc>
          <w:tcPr>
            <w:tcW w:w="546" w:type="pct"/>
            <w:vMerge w:val="restart"/>
            <w:tcBorders>
              <w:top w:val="single" w:sz="8" w:space="0" w:color="auto"/>
              <w:left w:val="nil"/>
              <w:right w:val="nil"/>
            </w:tcBorders>
            <w:vAlign w:val="center"/>
          </w:tcPr>
          <w:p w14:paraId="671B74ED" w14:textId="77777777" w:rsidR="00971992" w:rsidRPr="003E565E" w:rsidRDefault="00971992" w:rsidP="00971992">
            <w:pPr>
              <w:ind w:firstLineChars="0" w:firstLine="0"/>
              <w:jc w:val="center"/>
              <w:rPr>
                <w:sz w:val="24"/>
              </w:rPr>
            </w:pPr>
            <w:r w:rsidRPr="003E565E">
              <w:rPr>
                <w:rFonts w:hint="eastAsia"/>
                <w:sz w:val="24"/>
              </w:rPr>
              <w:t>企业</w:t>
            </w:r>
            <w:r w:rsidRPr="003E565E">
              <w:rPr>
                <w:rFonts w:hint="eastAsia"/>
                <w:sz w:val="24"/>
              </w:rPr>
              <w:t>1</w:t>
            </w:r>
          </w:p>
          <w:p w14:paraId="1982048E" w14:textId="77777777" w:rsidR="00971992" w:rsidRDefault="00971992" w:rsidP="00971992">
            <w:pPr>
              <w:ind w:firstLineChars="0" w:firstLine="0"/>
              <w:jc w:val="center"/>
              <w:rPr>
                <w:sz w:val="24"/>
              </w:rPr>
            </w:pPr>
            <w:r>
              <w:rPr>
                <w:rFonts w:hint="eastAsia"/>
                <w:sz w:val="24"/>
              </w:rPr>
              <w:t>75</w:t>
            </w:r>
            <w:r w:rsidRPr="003E565E">
              <w:rPr>
                <w:sz w:val="24"/>
              </w:rPr>
              <w:t>t/h</w:t>
            </w:r>
          </w:p>
          <w:p w14:paraId="36B399B3" w14:textId="1A5066BC" w:rsidR="00971992" w:rsidRPr="00FD55D0" w:rsidRDefault="00971992" w:rsidP="00971992">
            <w:pPr>
              <w:ind w:firstLineChars="0" w:firstLine="0"/>
              <w:jc w:val="center"/>
              <w:rPr>
                <w:sz w:val="24"/>
              </w:rPr>
            </w:pPr>
            <w:r>
              <w:rPr>
                <w:rFonts w:hint="eastAsia"/>
                <w:sz w:val="24"/>
              </w:rPr>
              <w:t>流化床</w:t>
            </w:r>
          </w:p>
        </w:tc>
        <w:tc>
          <w:tcPr>
            <w:tcW w:w="418" w:type="pct"/>
            <w:tcBorders>
              <w:top w:val="single" w:sz="8" w:space="0" w:color="auto"/>
              <w:left w:val="nil"/>
              <w:bottom w:val="nil"/>
              <w:right w:val="nil"/>
            </w:tcBorders>
            <w:vAlign w:val="center"/>
          </w:tcPr>
          <w:p w14:paraId="231C49A9" w14:textId="36E404AA" w:rsidR="00971992" w:rsidRPr="00FD55D0" w:rsidRDefault="00971992" w:rsidP="00971992">
            <w:pPr>
              <w:ind w:firstLineChars="0" w:firstLine="0"/>
              <w:jc w:val="center"/>
              <w:rPr>
                <w:sz w:val="24"/>
              </w:rPr>
            </w:pPr>
            <w:r w:rsidRPr="00FD55D0">
              <w:rPr>
                <w:sz w:val="24"/>
              </w:rPr>
              <w:t>燃料</w:t>
            </w:r>
          </w:p>
        </w:tc>
        <w:tc>
          <w:tcPr>
            <w:tcW w:w="449" w:type="pct"/>
            <w:tcBorders>
              <w:top w:val="single" w:sz="8" w:space="0" w:color="auto"/>
              <w:left w:val="nil"/>
              <w:bottom w:val="nil"/>
              <w:right w:val="nil"/>
            </w:tcBorders>
            <w:vAlign w:val="center"/>
          </w:tcPr>
          <w:p w14:paraId="0F42A5E0" w14:textId="538ACE03" w:rsidR="00971992" w:rsidRPr="00BC22DE" w:rsidRDefault="00971992" w:rsidP="00971992">
            <w:pPr>
              <w:ind w:firstLineChars="0" w:firstLine="0"/>
              <w:jc w:val="center"/>
              <w:rPr>
                <w:strike/>
                <w:sz w:val="24"/>
              </w:rPr>
            </w:pPr>
            <w:r w:rsidRPr="00FD55D0">
              <w:rPr>
                <w:sz w:val="24"/>
              </w:rPr>
              <w:t>5</w:t>
            </w:r>
            <w:r>
              <w:rPr>
                <w:rFonts w:hint="eastAsia"/>
                <w:sz w:val="24"/>
              </w:rPr>
              <w:t>1</w:t>
            </w:r>
            <w:r w:rsidRPr="00FD55D0">
              <w:rPr>
                <w:sz w:val="24"/>
              </w:rPr>
              <w:t>.34</w:t>
            </w:r>
          </w:p>
        </w:tc>
        <w:tc>
          <w:tcPr>
            <w:tcW w:w="448" w:type="pct"/>
            <w:tcBorders>
              <w:top w:val="single" w:sz="8" w:space="0" w:color="auto"/>
              <w:left w:val="nil"/>
              <w:bottom w:val="nil"/>
              <w:right w:val="nil"/>
            </w:tcBorders>
          </w:tcPr>
          <w:p w14:paraId="0AE22ED0" w14:textId="2D8F886D" w:rsidR="00971992" w:rsidRPr="00BC22DE" w:rsidRDefault="00971992" w:rsidP="00971992">
            <w:pPr>
              <w:ind w:firstLineChars="0" w:firstLine="0"/>
              <w:jc w:val="center"/>
              <w:rPr>
                <w:strike/>
                <w:sz w:val="24"/>
              </w:rPr>
            </w:pPr>
            <w:r>
              <w:rPr>
                <w:rFonts w:hint="eastAsia"/>
                <w:sz w:val="24"/>
                <w:szCs w:val="21"/>
              </w:rPr>
              <w:t>1.34</w:t>
            </w:r>
          </w:p>
        </w:tc>
        <w:tc>
          <w:tcPr>
            <w:tcW w:w="448" w:type="pct"/>
            <w:tcBorders>
              <w:top w:val="single" w:sz="8" w:space="0" w:color="auto"/>
              <w:left w:val="nil"/>
              <w:bottom w:val="nil"/>
              <w:right w:val="nil"/>
            </w:tcBorders>
          </w:tcPr>
          <w:p w14:paraId="222A8A07" w14:textId="7C810FBD" w:rsidR="00971992" w:rsidRPr="00BC22DE" w:rsidRDefault="00971992" w:rsidP="00971992">
            <w:pPr>
              <w:ind w:firstLineChars="0" w:firstLine="0"/>
              <w:jc w:val="center"/>
              <w:rPr>
                <w:strike/>
                <w:sz w:val="24"/>
              </w:rPr>
            </w:pPr>
            <w:r>
              <w:rPr>
                <w:rFonts w:hint="eastAsia"/>
                <w:sz w:val="24"/>
                <w:szCs w:val="21"/>
              </w:rPr>
              <w:t>40.72</w:t>
            </w:r>
          </w:p>
        </w:tc>
        <w:tc>
          <w:tcPr>
            <w:tcW w:w="450" w:type="pct"/>
            <w:tcBorders>
              <w:top w:val="single" w:sz="8" w:space="0" w:color="auto"/>
              <w:left w:val="nil"/>
              <w:bottom w:val="nil"/>
              <w:right w:val="nil"/>
            </w:tcBorders>
          </w:tcPr>
          <w:p w14:paraId="54FDE551" w14:textId="553A873D" w:rsidR="00971992" w:rsidRPr="00BC22DE" w:rsidRDefault="00971992" w:rsidP="00971992">
            <w:pPr>
              <w:ind w:firstLineChars="0" w:firstLine="0"/>
              <w:jc w:val="center"/>
              <w:rPr>
                <w:strike/>
                <w:sz w:val="24"/>
              </w:rPr>
            </w:pPr>
            <w:r>
              <w:rPr>
                <w:rFonts w:hint="eastAsia"/>
                <w:sz w:val="24"/>
                <w:szCs w:val="21"/>
              </w:rPr>
              <w:t>6.6</w:t>
            </w:r>
          </w:p>
        </w:tc>
        <w:tc>
          <w:tcPr>
            <w:tcW w:w="446" w:type="pct"/>
            <w:tcBorders>
              <w:top w:val="single" w:sz="8" w:space="0" w:color="auto"/>
              <w:left w:val="nil"/>
              <w:bottom w:val="nil"/>
              <w:right w:val="nil"/>
            </w:tcBorders>
          </w:tcPr>
          <w:p w14:paraId="2B5325CD" w14:textId="114000F3" w:rsidR="00971992" w:rsidRPr="00BC22DE" w:rsidRDefault="00971992" w:rsidP="00971992">
            <w:pPr>
              <w:ind w:firstLineChars="0" w:firstLine="0"/>
              <w:jc w:val="center"/>
              <w:rPr>
                <w:strike/>
                <w:sz w:val="24"/>
              </w:rPr>
            </w:pPr>
            <w:r w:rsidRPr="00B24145">
              <w:rPr>
                <w:sz w:val="24"/>
              </w:rPr>
              <w:t>0.18</w:t>
            </w:r>
          </w:p>
        </w:tc>
        <w:tc>
          <w:tcPr>
            <w:tcW w:w="449" w:type="pct"/>
            <w:tcBorders>
              <w:top w:val="single" w:sz="8" w:space="0" w:color="auto"/>
              <w:left w:val="nil"/>
              <w:bottom w:val="nil"/>
              <w:right w:val="nil"/>
            </w:tcBorders>
          </w:tcPr>
          <w:p w14:paraId="2FDDE6FD" w14:textId="11390AAB" w:rsidR="00971992" w:rsidRPr="00BC22DE" w:rsidRDefault="00971992" w:rsidP="00971992">
            <w:pPr>
              <w:ind w:firstLineChars="0" w:firstLine="0"/>
              <w:jc w:val="center"/>
              <w:rPr>
                <w:strike/>
                <w:sz w:val="24"/>
              </w:rPr>
            </w:pPr>
            <w:r w:rsidRPr="00B24145">
              <w:rPr>
                <w:sz w:val="24"/>
              </w:rPr>
              <w:t>30.8</w:t>
            </w:r>
          </w:p>
        </w:tc>
        <w:tc>
          <w:tcPr>
            <w:tcW w:w="449" w:type="pct"/>
            <w:tcBorders>
              <w:top w:val="single" w:sz="8" w:space="0" w:color="auto"/>
              <w:left w:val="nil"/>
              <w:bottom w:val="nil"/>
              <w:right w:val="nil"/>
            </w:tcBorders>
          </w:tcPr>
          <w:p w14:paraId="6EF3569E" w14:textId="41C33249" w:rsidR="00971992" w:rsidRPr="00BC22DE" w:rsidRDefault="00971992" w:rsidP="00971992">
            <w:pPr>
              <w:ind w:firstLineChars="0" w:firstLine="0"/>
              <w:jc w:val="center"/>
              <w:rPr>
                <w:strike/>
                <w:sz w:val="24"/>
              </w:rPr>
            </w:pPr>
            <w:r w:rsidRPr="00B24145">
              <w:rPr>
                <w:sz w:val="24"/>
              </w:rPr>
              <w:t>3.72</w:t>
            </w:r>
          </w:p>
        </w:tc>
        <w:tc>
          <w:tcPr>
            <w:tcW w:w="455" w:type="pct"/>
            <w:tcBorders>
              <w:top w:val="single" w:sz="8" w:space="0" w:color="auto"/>
              <w:left w:val="nil"/>
              <w:bottom w:val="nil"/>
              <w:right w:val="nil"/>
            </w:tcBorders>
          </w:tcPr>
          <w:p w14:paraId="084EDC05" w14:textId="0920657E" w:rsidR="00971992" w:rsidRPr="00BC22DE" w:rsidRDefault="00971992" w:rsidP="00971992">
            <w:pPr>
              <w:ind w:firstLineChars="0" w:firstLine="0"/>
              <w:jc w:val="center"/>
              <w:rPr>
                <w:strike/>
                <w:sz w:val="24"/>
              </w:rPr>
            </w:pPr>
            <w:r w:rsidRPr="00B24145">
              <w:rPr>
                <w:sz w:val="24"/>
              </w:rPr>
              <w:t>0</w:t>
            </w:r>
          </w:p>
        </w:tc>
        <w:tc>
          <w:tcPr>
            <w:tcW w:w="442" w:type="pct"/>
            <w:tcBorders>
              <w:top w:val="single" w:sz="8" w:space="0" w:color="auto"/>
              <w:left w:val="nil"/>
              <w:bottom w:val="nil"/>
              <w:right w:val="nil"/>
            </w:tcBorders>
            <w:vAlign w:val="center"/>
          </w:tcPr>
          <w:p w14:paraId="545B5F97" w14:textId="140FE98C" w:rsidR="00971992" w:rsidRPr="00BC22DE" w:rsidRDefault="00971992" w:rsidP="00971992">
            <w:pPr>
              <w:ind w:firstLineChars="0" w:firstLine="0"/>
              <w:jc w:val="center"/>
              <w:rPr>
                <w:strike/>
                <w:sz w:val="24"/>
              </w:rPr>
            </w:pPr>
            <w:r>
              <w:rPr>
                <w:rFonts w:hint="eastAsia"/>
                <w:sz w:val="24"/>
              </w:rPr>
              <w:t>47</w:t>
            </w:r>
            <w:r w:rsidRPr="00B24145">
              <w:rPr>
                <w:sz w:val="24"/>
              </w:rPr>
              <w:t>.</w:t>
            </w:r>
            <w:r>
              <w:rPr>
                <w:rFonts w:hint="eastAsia"/>
                <w:sz w:val="24"/>
              </w:rPr>
              <w:t>55</w:t>
            </w:r>
          </w:p>
        </w:tc>
      </w:tr>
      <w:tr w:rsidR="003E565E" w:rsidRPr="00FD55D0" w14:paraId="149EA5DA" w14:textId="77777777" w:rsidTr="00014A18">
        <w:trPr>
          <w:trHeight w:val="224"/>
          <w:jc w:val="center"/>
        </w:trPr>
        <w:tc>
          <w:tcPr>
            <w:tcW w:w="546" w:type="pct"/>
            <w:vMerge/>
            <w:tcBorders>
              <w:left w:val="nil"/>
              <w:right w:val="nil"/>
            </w:tcBorders>
            <w:vAlign w:val="center"/>
          </w:tcPr>
          <w:p w14:paraId="779CCD46" w14:textId="77777777" w:rsidR="003E565E" w:rsidRPr="00FD55D0" w:rsidRDefault="003E565E" w:rsidP="003E565E">
            <w:pPr>
              <w:ind w:firstLineChars="0" w:firstLine="0"/>
              <w:jc w:val="center"/>
              <w:rPr>
                <w:sz w:val="24"/>
              </w:rPr>
            </w:pPr>
          </w:p>
        </w:tc>
        <w:tc>
          <w:tcPr>
            <w:tcW w:w="418" w:type="pct"/>
            <w:tcBorders>
              <w:top w:val="nil"/>
              <w:left w:val="nil"/>
              <w:bottom w:val="nil"/>
              <w:right w:val="nil"/>
            </w:tcBorders>
            <w:vAlign w:val="center"/>
          </w:tcPr>
          <w:p w14:paraId="557BFC40" w14:textId="01688D1C" w:rsidR="003E565E" w:rsidRPr="00FD55D0" w:rsidRDefault="003E565E" w:rsidP="003E565E">
            <w:pPr>
              <w:ind w:firstLineChars="0" w:firstLine="0"/>
              <w:jc w:val="center"/>
              <w:rPr>
                <w:sz w:val="24"/>
              </w:rPr>
            </w:pPr>
            <w:r w:rsidRPr="00385AD9">
              <w:rPr>
                <w:sz w:val="24"/>
              </w:rPr>
              <w:t>飞灰</w:t>
            </w:r>
          </w:p>
        </w:tc>
        <w:tc>
          <w:tcPr>
            <w:tcW w:w="449" w:type="pct"/>
            <w:tcBorders>
              <w:top w:val="nil"/>
              <w:left w:val="nil"/>
              <w:bottom w:val="nil"/>
              <w:right w:val="nil"/>
            </w:tcBorders>
            <w:vAlign w:val="center"/>
          </w:tcPr>
          <w:p w14:paraId="10890CFA" w14:textId="75DFF964" w:rsidR="003E565E" w:rsidRPr="00971992" w:rsidRDefault="00971992" w:rsidP="003E565E">
            <w:pPr>
              <w:ind w:firstLineChars="0" w:firstLine="0"/>
              <w:jc w:val="center"/>
              <w:rPr>
                <w:sz w:val="24"/>
              </w:rPr>
            </w:pPr>
            <w:r w:rsidRPr="00971992">
              <w:rPr>
                <w:rFonts w:hint="eastAsia"/>
                <w:sz w:val="24"/>
              </w:rPr>
              <w:t>10.12</w:t>
            </w:r>
          </w:p>
        </w:tc>
        <w:tc>
          <w:tcPr>
            <w:tcW w:w="448" w:type="pct"/>
            <w:tcBorders>
              <w:top w:val="nil"/>
              <w:left w:val="nil"/>
              <w:bottom w:val="nil"/>
              <w:right w:val="nil"/>
            </w:tcBorders>
            <w:vAlign w:val="center"/>
          </w:tcPr>
          <w:p w14:paraId="74C3919B" w14:textId="4D82AF38" w:rsidR="003E565E" w:rsidRPr="00971992" w:rsidRDefault="00DB0836" w:rsidP="003E565E">
            <w:pPr>
              <w:ind w:firstLineChars="0" w:firstLine="0"/>
              <w:jc w:val="center"/>
              <w:rPr>
                <w:sz w:val="24"/>
              </w:rPr>
            </w:pPr>
            <w:r>
              <w:rPr>
                <w:rFonts w:hint="eastAsia"/>
                <w:sz w:val="24"/>
              </w:rPr>
              <w:t>83.39</w:t>
            </w:r>
          </w:p>
        </w:tc>
        <w:tc>
          <w:tcPr>
            <w:tcW w:w="448" w:type="pct"/>
            <w:tcBorders>
              <w:top w:val="nil"/>
              <w:left w:val="nil"/>
              <w:bottom w:val="nil"/>
              <w:right w:val="nil"/>
            </w:tcBorders>
            <w:vAlign w:val="center"/>
          </w:tcPr>
          <w:p w14:paraId="0DB5EFC2" w14:textId="30939AD1" w:rsidR="003E565E" w:rsidRPr="00971992" w:rsidRDefault="00971992" w:rsidP="003E565E">
            <w:pPr>
              <w:ind w:firstLineChars="0" w:firstLine="0"/>
              <w:jc w:val="center"/>
              <w:rPr>
                <w:sz w:val="24"/>
              </w:rPr>
            </w:pPr>
            <w:r>
              <w:rPr>
                <w:rFonts w:hint="eastAsia"/>
                <w:sz w:val="24"/>
              </w:rPr>
              <w:t>2.30</w:t>
            </w:r>
          </w:p>
        </w:tc>
        <w:tc>
          <w:tcPr>
            <w:tcW w:w="450" w:type="pct"/>
            <w:tcBorders>
              <w:top w:val="nil"/>
              <w:left w:val="nil"/>
              <w:bottom w:val="nil"/>
              <w:right w:val="nil"/>
            </w:tcBorders>
            <w:vAlign w:val="center"/>
          </w:tcPr>
          <w:p w14:paraId="17BB901D" w14:textId="113D304E" w:rsidR="003E565E" w:rsidRPr="00971992" w:rsidRDefault="003072D1" w:rsidP="003E565E">
            <w:pPr>
              <w:ind w:firstLineChars="0" w:firstLine="0"/>
              <w:jc w:val="center"/>
              <w:rPr>
                <w:sz w:val="24"/>
              </w:rPr>
            </w:pPr>
            <w:r>
              <w:rPr>
                <w:rFonts w:hint="eastAsia"/>
                <w:sz w:val="24"/>
              </w:rPr>
              <w:t>4</w:t>
            </w:r>
            <w:r w:rsidR="00971992">
              <w:rPr>
                <w:rFonts w:hint="eastAsia"/>
                <w:sz w:val="24"/>
              </w:rPr>
              <w:t>.19</w:t>
            </w:r>
          </w:p>
        </w:tc>
        <w:tc>
          <w:tcPr>
            <w:tcW w:w="446" w:type="pct"/>
            <w:tcBorders>
              <w:top w:val="nil"/>
              <w:left w:val="nil"/>
              <w:bottom w:val="nil"/>
              <w:right w:val="nil"/>
            </w:tcBorders>
            <w:vAlign w:val="center"/>
          </w:tcPr>
          <w:p w14:paraId="11946993" w14:textId="00035589" w:rsidR="003E565E" w:rsidRPr="00971992" w:rsidRDefault="003E565E" w:rsidP="003E565E">
            <w:pPr>
              <w:ind w:firstLineChars="0" w:firstLine="0"/>
              <w:jc w:val="center"/>
              <w:rPr>
                <w:sz w:val="24"/>
              </w:rPr>
            </w:pPr>
            <w:r w:rsidRPr="00FD55D0">
              <w:rPr>
                <w:sz w:val="24"/>
              </w:rPr>
              <w:t>0.03</w:t>
            </w:r>
          </w:p>
        </w:tc>
        <w:tc>
          <w:tcPr>
            <w:tcW w:w="449" w:type="pct"/>
            <w:tcBorders>
              <w:top w:val="nil"/>
              <w:left w:val="nil"/>
              <w:bottom w:val="nil"/>
              <w:right w:val="nil"/>
            </w:tcBorders>
            <w:vAlign w:val="center"/>
          </w:tcPr>
          <w:p w14:paraId="05A2F95C" w14:textId="327D353E" w:rsidR="003E565E" w:rsidRPr="00971992" w:rsidRDefault="003072D1" w:rsidP="003E565E">
            <w:pPr>
              <w:ind w:firstLineChars="0" w:firstLine="0"/>
              <w:jc w:val="center"/>
              <w:rPr>
                <w:sz w:val="24"/>
              </w:rPr>
            </w:pPr>
            <w:r>
              <w:rPr>
                <w:rFonts w:hint="eastAsia"/>
                <w:sz w:val="24"/>
              </w:rPr>
              <w:t>6.62</w:t>
            </w:r>
          </w:p>
        </w:tc>
        <w:tc>
          <w:tcPr>
            <w:tcW w:w="449" w:type="pct"/>
            <w:tcBorders>
              <w:top w:val="nil"/>
              <w:left w:val="nil"/>
              <w:bottom w:val="nil"/>
              <w:right w:val="nil"/>
            </w:tcBorders>
            <w:vAlign w:val="center"/>
          </w:tcPr>
          <w:p w14:paraId="5844E070" w14:textId="5A921E88" w:rsidR="003E565E" w:rsidRPr="00971992" w:rsidRDefault="003E565E" w:rsidP="003E565E">
            <w:pPr>
              <w:ind w:firstLineChars="0" w:firstLine="0"/>
              <w:jc w:val="center"/>
              <w:rPr>
                <w:sz w:val="24"/>
              </w:rPr>
            </w:pPr>
            <w:r w:rsidRPr="00FD55D0">
              <w:rPr>
                <w:sz w:val="24"/>
              </w:rPr>
              <w:t>0</w:t>
            </w:r>
            <w:r w:rsidR="003072D1">
              <w:rPr>
                <w:rFonts w:hint="eastAsia"/>
                <w:sz w:val="24"/>
              </w:rPr>
              <w:t>.10</w:t>
            </w:r>
          </w:p>
        </w:tc>
        <w:tc>
          <w:tcPr>
            <w:tcW w:w="455" w:type="pct"/>
            <w:tcBorders>
              <w:top w:val="nil"/>
              <w:left w:val="nil"/>
              <w:bottom w:val="nil"/>
              <w:right w:val="nil"/>
            </w:tcBorders>
            <w:vAlign w:val="center"/>
          </w:tcPr>
          <w:p w14:paraId="6563145C" w14:textId="435D0479" w:rsidR="003E565E" w:rsidRPr="00971992" w:rsidRDefault="003E565E" w:rsidP="003E565E">
            <w:pPr>
              <w:ind w:firstLineChars="0" w:firstLine="0"/>
              <w:jc w:val="center"/>
              <w:rPr>
                <w:sz w:val="24"/>
              </w:rPr>
            </w:pPr>
            <w:r w:rsidRPr="00FD55D0">
              <w:rPr>
                <w:sz w:val="24"/>
              </w:rPr>
              <w:t>0.0</w:t>
            </w:r>
            <w:r w:rsidR="003072D1">
              <w:rPr>
                <w:rFonts w:hint="eastAsia"/>
                <w:sz w:val="24"/>
              </w:rPr>
              <w:t>9</w:t>
            </w:r>
          </w:p>
        </w:tc>
        <w:tc>
          <w:tcPr>
            <w:tcW w:w="442" w:type="pct"/>
            <w:tcBorders>
              <w:top w:val="nil"/>
              <w:left w:val="nil"/>
              <w:bottom w:val="nil"/>
              <w:right w:val="nil"/>
            </w:tcBorders>
            <w:vAlign w:val="center"/>
          </w:tcPr>
          <w:p w14:paraId="2510E7F0" w14:textId="265D7807" w:rsidR="003E565E" w:rsidRPr="00971992" w:rsidRDefault="00DB0836" w:rsidP="003E565E">
            <w:pPr>
              <w:ind w:firstLineChars="0" w:firstLine="0"/>
              <w:jc w:val="center"/>
              <w:rPr>
                <w:sz w:val="24"/>
              </w:rPr>
            </w:pPr>
            <w:r>
              <w:rPr>
                <w:rFonts w:hint="eastAsia"/>
                <w:sz w:val="24"/>
              </w:rPr>
              <w:t>0.38</w:t>
            </w:r>
          </w:p>
        </w:tc>
      </w:tr>
      <w:tr w:rsidR="003E565E" w:rsidRPr="00FD55D0" w14:paraId="76CF770A" w14:textId="77777777" w:rsidTr="00014A18">
        <w:trPr>
          <w:trHeight w:val="224"/>
          <w:jc w:val="center"/>
        </w:trPr>
        <w:tc>
          <w:tcPr>
            <w:tcW w:w="546" w:type="pct"/>
            <w:vMerge/>
            <w:tcBorders>
              <w:left w:val="nil"/>
              <w:bottom w:val="single" w:sz="8" w:space="0" w:color="auto"/>
              <w:right w:val="nil"/>
            </w:tcBorders>
            <w:vAlign w:val="center"/>
          </w:tcPr>
          <w:p w14:paraId="6B6950C8" w14:textId="77777777" w:rsidR="003E565E" w:rsidRPr="00FD55D0" w:rsidRDefault="003E565E" w:rsidP="003E565E">
            <w:pPr>
              <w:ind w:firstLineChars="0" w:firstLine="0"/>
              <w:jc w:val="center"/>
              <w:rPr>
                <w:sz w:val="24"/>
              </w:rPr>
            </w:pPr>
          </w:p>
        </w:tc>
        <w:tc>
          <w:tcPr>
            <w:tcW w:w="418" w:type="pct"/>
            <w:tcBorders>
              <w:top w:val="nil"/>
              <w:left w:val="nil"/>
              <w:bottom w:val="nil"/>
              <w:right w:val="nil"/>
            </w:tcBorders>
            <w:vAlign w:val="center"/>
          </w:tcPr>
          <w:p w14:paraId="424CFEF8" w14:textId="46FCDD40" w:rsidR="003E565E" w:rsidRPr="00DB0836" w:rsidRDefault="003E565E" w:rsidP="003E565E">
            <w:pPr>
              <w:ind w:firstLineChars="0" w:firstLine="0"/>
              <w:jc w:val="center"/>
              <w:rPr>
                <w:sz w:val="24"/>
              </w:rPr>
            </w:pPr>
            <w:proofErr w:type="gramStart"/>
            <w:r w:rsidRPr="00DB0836">
              <w:rPr>
                <w:sz w:val="24"/>
              </w:rPr>
              <w:t>底渣</w:t>
            </w:r>
            <w:proofErr w:type="gramEnd"/>
          </w:p>
        </w:tc>
        <w:tc>
          <w:tcPr>
            <w:tcW w:w="449" w:type="pct"/>
            <w:tcBorders>
              <w:top w:val="nil"/>
              <w:left w:val="nil"/>
              <w:bottom w:val="nil"/>
              <w:right w:val="nil"/>
            </w:tcBorders>
            <w:vAlign w:val="center"/>
          </w:tcPr>
          <w:p w14:paraId="1EDE42BE" w14:textId="1BE72A51" w:rsidR="003E565E" w:rsidRPr="00DB0836" w:rsidRDefault="003E565E" w:rsidP="003E565E">
            <w:pPr>
              <w:ind w:firstLineChars="0" w:firstLine="0"/>
              <w:jc w:val="center"/>
              <w:rPr>
                <w:sz w:val="24"/>
              </w:rPr>
            </w:pPr>
            <w:r w:rsidRPr="00FD55D0">
              <w:rPr>
                <w:sz w:val="24"/>
              </w:rPr>
              <w:t>0.</w:t>
            </w:r>
            <w:r w:rsidR="00971992" w:rsidRPr="00DB0836">
              <w:rPr>
                <w:rFonts w:hint="eastAsia"/>
                <w:sz w:val="24"/>
              </w:rPr>
              <w:t>40</w:t>
            </w:r>
          </w:p>
        </w:tc>
        <w:tc>
          <w:tcPr>
            <w:tcW w:w="448" w:type="pct"/>
            <w:tcBorders>
              <w:top w:val="nil"/>
              <w:left w:val="nil"/>
              <w:bottom w:val="nil"/>
              <w:right w:val="nil"/>
            </w:tcBorders>
            <w:vAlign w:val="center"/>
          </w:tcPr>
          <w:p w14:paraId="4FB333E9" w14:textId="198B5617" w:rsidR="003E565E" w:rsidRPr="00DB0836" w:rsidRDefault="003E565E" w:rsidP="003E565E">
            <w:pPr>
              <w:ind w:firstLineChars="0" w:firstLine="0"/>
              <w:jc w:val="center"/>
              <w:rPr>
                <w:sz w:val="24"/>
              </w:rPr>
            </w:pPr>
            <w:r w:rsidRPr="00FD55D0">
              <w:rPr>
                <w:sz w:val="24"/>
              </w:rPr>
              <w:t>9</w:t>
            </w:r>
            <w:r w:rsidR="00DB0836" w:rsidRPr="00DB0836">
              <w:rPr>
                <w:rFonts w:hint="eastAsia"/>
                <w:sz w:val="24"/>
              </w:rPr>
              <w:t>4</w:t>
            </w:r>
            <w:r w:rsidRPr="00FD55D0">
              <w:rPr>
                <w:sz w:val="24"/>
              </w:rPr>
              <w:t>.</w:t>
            </w:r>
            <w:r w:rsidR="00DB0836" w:rsidRPr="00DB0836">
              <w:rPr>
                <w:rFonts w:hint="eastAsia"/>
                <w:sz w:val="24"/>
              </w:rPr>
              <w:t>91</w:t>
            </w:r>
          </w:p>
        </w:tc>
        <w:tc>
          <w:tcPr>
            <w:tcW w:w="448" w:type="pct"/>
            <w:tcBorders>
              <w:top w:val="nil"/>
              <w:left w:val="nil"/>
              <w:bottom w:val="nil"/>
              <w:right w:val="nil"/>
            </w:tcBorders>
            <w:vAlign w:val="center"/>
          </w:tcPr>
          <w:p w14:paraId="28DB5706" w14:textId="674F2CAD" w:rsidR="003E565E" w:rsidRPr="00DB0836" w:rsidRDefault="00DB0836" w:rsidP="003E565E">
            <w:pPr>
              <w:ind w:firstLineChars="0" w:firstLine="0"/>
              <w:jc w:val="center"/>
              <w:rPr>
                <w:sz w:val="24"/>
              </w:rPr>
            </w:pPr>
            <w:r w:rsidRPr="00DB0836">
              <w:rPr>
                <w:rFonts w:hint="eastAsia"/>
                <w:sz w:val="24"/>
              </w:rPr>
              <w:t>3.95</w:t>
            </w:r>
          </w:p>
        </w:tc>
        <w:tc>
          <w:tcPr>
            <w:tcW w:w="450" w:type="pct"/>
            <w:tcBorders>
              <w:top w:val="nil"/>
              <w:left w:val="nil"/>
              <w:bottom w:val="nil"/>
              <w:right w:val="nil"/>
            </w:tcBorders>
            <w:vAlign w:val="center"/>
          </w:tcPr>
          <w:p w14:paraId="01A651CF" w14:textId="196729CE" w:rsidR="003E565E" w:rsidRPr="00DB0836" w:rsidRDefault="00DB0836" w:rsidP="003E565E">
            <w:pPr>
              <w:ind w:firstLineChars="0" w:firstLine="0"/>
              <w:jc w:val="center"/>
              <w:rPr>
                <w:sz w:val="24"/>
              </w:rPr>
            </w:pPr>
            <w:r w:rsidRPr="00DB0836">
              <w:rPr>
                <w:rFonts w:hint="eastAsia"/>
                <w:sz w:val="24"/>
              </w:rPr>
              <w:t>0.75</w:t>
            </w:r>
          </w:p>
        </w:tc>
        <w:tc>
          <w:tcPr>
            <w:tcW w:w="446" w:type="pct"/>
            <w:tcBorders>
              <w:top w:val="nil"/>
              <w:left w:val="nil"/>
              <w:bottom w:val="nil"/>
              <w:right w:val="nil"/>
            </w:tcBorders>
            <w:vAlign w:val="center"/>
          </w:tcPr>
          <w:p w14:paraId="649D1065" w14:textId="4CA87D6A" w:rsidR="003E565E" w:rsidRPr="00DB0836" w:rsidRDefault="003E565E" w:rsidP="003E565E">
            <w:pPr>
              <w:ind w:firstLineChars="0" w:firstLine="0"/>
              <w:jc w:val="center"/>
              <w:rPr>
                <w:sz w:val="24"/>
              </w:rPr>
            </w:pPr>
            <w:r w:rsidRPr="00FD55D0">
              <w:rPr>
                <w:sz w:val="24"/>
              </w:rPr>
              <w:t>0</w:t>
            </w:r>
          </w:p>
        </w:tc>
        <w:tc>
          <w:tcPr>
            <w:tcW w:w="449" w:type="pct"/>
            <w:tcBorders>
              <w:top w:val="nil"/>
              <w:left w:val="nil"/>
              <w:bottom w:val="nil"/>
              <w:right w:val="nil"/>
            </w:tcBorders>
            <w:vAlign w:val="center"/>
          </w:tcPr>
          <w:p w14:paraId="788AD43F" w14:textId="547DC21F" w:rsidR="003E565E" w:rsidRPr="00DB0836" w:rsidRDefault="00DB0836" w:rsidP="003E565E">
            <w:pPr>
              <w:ind w:firstLineChars="0" w:firstLine="0"/>
              <w:jc w:val="center"/>
              <w:rPr>
                <w:sz w:val="24"/>
              </w:rPr>
            </w:pPr>
            <w:r w:rsidRPr="00DB0836">
              <w:rPr>
                <w:rFonts w:hint="eastAsia"/>
                <w:sz w:val="24"/>
              </w:rPr>
              <w:t>4.52</w:t>
            </w:r>
          </w:p>
        </w:tc>
        <w:tc>
          <w:tcPr>
            <w:tcW w:w="449" w:type="pct"/>
            <w:tcBorders>
              <w:top w:val="nil"/>
              <w:left w:val="nil"/>
              <w:bottom w:val="nil"/>
              <w:right w:val="nil"/>
            </w:tcBorders>
            <w:vAlign w:val="center"/>
          </w:tcPr>
          <w:p w14:paraId="00FD6D3A" w14:textId="12EE1783" w:rsidR="003E565E" w:rsidRPr="00DB0836" w:rsidRDefault="003E565E" w:rsidP="003E565E">
            <w:pPr>
              <w:ind w:firstLineChars="0" w:firstLine="0"/>
              <w:jc w:val="center"/>
              <w:rPr>
                <w:sz w:val="24"/>
              </w:rPr>
            </w:pPr>
            <w:r w:rsidRPr="00FD55D0">
              <w:rPr>
                <w:sz w:val="24"/>
              </w:rPr>
              <w:t>0</w:t>
            </w:r>
          </w:p>
        </w:tc>
        <w:tc>
          <w:tcPr>
            <w:tcW w:w="455" w:type="pct"/>
            <w:tcBorders>
              <w:top w:val="nil"/>
              <w:left w:val="nil"/>
              <w:bottom w:val="nil"/>
              <w:right w:val="nil"/>
            </w:tcBorders>
            <w:vAlign w:val="center"/>
          </w:tcPr>
          <w:p w14:paraId="1553F2C2" w14:textId="5308B682" w:rsidR="003E565E" w:rsidRPr="00DB0836" w:rsidRDefault="003E565E" w:rsidP="003E565E">
            <w:pPr>
              <w:ind w:firstLineChars="0" w:firstLine="0"/>
              <w:jc w:val="center"/>
              <w:rPr>
                <w:sz w:val="24"/>
              </w:rPr>
            </w:pPr>
            <w:r w:rsidRPr="00FD55D0">
              <w:rPr>
                <w:sz w:val="24"/>
              </w:rPr>
              <w:t>0.02</w:t>
            </w:r>
          </w:p>
        </w:tc>
        <w:tc>
          <w:tcPr>
            <w:tcW w:w="442" w:type="pct"/>
            <w:tcBorders>
              <w:top w:val="nil"/>
              <w:left w:val="nil"/>
              <w:bottom w:val="nil"/>
              <w:right w:val="nil"/>
            </w:tcBorders>
            <w:vAlign w:val="center"/>
          </w:tcPr>
          <w:p w14:paraId="5094C828" w14:textId="138B8B4C" w:rsidR="003E565E" w:rsidRPr="00DB0836" w:rsidRDefault="003E565E" w:rsidP="003E565E">
            <w:pPr>
              <w:ind w:firstLineChars="0" w:firstLine="0"/>
              <w:jc w:val="center"/>
              <w:rPr>
                <w:sz w:val="24"/>
              </w:rPr>
            </w:pPr>
            <w:r w:rsidRPr="00FD55D0">
              <w:rPr>
                <w:sz w:val="24"/>
              </w:rPr>
              <w:t>0.</w:t>
            </w:r>
            <w:r w:rsidR="00DB0836">
              <w:rPr>
                <w:rFonts w:hint="eastAsia"/>
                <w:sz w:val="24"/>
              </w:rPr>
              <w:t>17</w:t>
            </w:r>
          </w:p>
        </w:tc>
      </w:tr>
      <w:tr w:rsidR="00014A18" w:rsidRPr="00FD55D0" w14:paraId="6D5460A1" w14:textId="77777777" w:rsidTr="00014A18">
        <w:trPr>
          <w:trHeight w:val="224"/>
          <w:jc w:val="center"/>
        </w:trPr>
        <w:tc>
          <w:tcPr>
            <w:tcW w:w="546" w:type="pct"/>
            <w:vMerge w:val="restart"/>
            <w:tcBorders>
              <w:top w:val="single" w:sz="8" w:space="0" w:color="auto"/>
              <w:left w:val="nil"/>
              <w:bottom w:val="single" w:sz="8" w:space="0" w:color="auto"/>
              <w:right w:val="nil"/>
            </w:tcBorders>
            <w:vAlign w:val="center"/>
          </w:tcPr>
          <w:p w14:paraId="448BE55F" w14:textId="77777777" w:rsidR="00385AD9" w:rsidRDefault="00385AD9" w:rsidP="00385AD9">
            <w:pPr>
              <w:ind w:firstLineChars="0" w:firstLine="0"/>
              <w:jc w:val="center"/>
              <w:rPr>
                <w:sz w:val="24"/>
              </w:rPr>
            </w:pPr>
            <w:r w:rsidRPr="00FD55D0">
              <w:rPr>
                <w:sz w:val="24"/>
              </w:rPr>
              <w:t>企业</w:t>
            </w:r>
            <w:r w:rsidRPr="00FD55D0">
              <w:rPr>
                <w:sz w:val="24"/>
              </w:rPr>
              <w:t>2</w:t>
            </w:r>
          </w:p>
          <w:p w14:paraId="01BB2A1A" w14:textId="6D217260" w:rsidR="003E565E" w:rsidRDefault="003E565E" w:rsidP="00385AD9">
            <w:pPr>
              <w:ind w:firstLineChars="0" w:firstLine="0"/>
              <w:jc w:val="center"/>
              <w:rPr>
                <w:sz w:val="24"/>
              </w:rPr>
            </w:pPr>
            <w:r>
              <w:rPr>
                <w:rFonts w:hint="eastAsia"/>
                <w:sz w:val="24"/>
              </w:rPr>
              <w:t>90t/h</w:t>
            </w:r>
          </w:p>
          <w:p w14:paraId="70D5879F" w14:textId="7393ABE1" w:rsidR="003E565E" w:rsidRPr="00385AD9" w:rsidRDefault="003E565E" w:rsidP="00385AD9">
            <w:pPr>
              <w:ind w:firstLineChars="0" w:firstLine="0"/>
              <w:jc w:val="center"/>
              <w:rPr>
                <w:sz w:val="24"/>
              </w:rPr>
            </w:pPr>
            <w:r>
              <w:rPr>
                <w:rFonts w:hint="eastAsia"/>
                <w:sz w:val="24"/>
              </w:rPr>
              <w:t>流化床</w:t>
            </w:r>
          </w:p>
        </w:tc>
        <w:tc>
          <w:tcPr>
            <w:tcW w:w="418" w:type="pct"/>
            <w:tcBorders>
              <w:top w:val="single" w:sz="8" w:space="0" w:color="auto"/>
              <w:left w:val="nil"/>
              <w:bottom w:val="nil"/>
              <w:right w:val="nil"/>
            </w:tcBorders>
            <w:vAlign w:val="center"/>
          </w:tcPr>
          <w:p w14:paraId="4AC0C0EB" w14:textId="0157BA29" w:rsidR="00385AD9" w:rsidRPr="00DB0836" w:rsidRDefault="00385AD9" w:rsidP="00385AD9">
            <w:pPr>
              <w:ind w:firstLineChars="0" w:firstLine="0"/>
              <w:jc w:val="center"/>
              <w:rPr>
                <w:sz w:val="24"/>
              </w:rPr>
            </w:pPr>
            <w:r w:rsidRPr="00FD55D0">
              <w:rPr>
                <w:sz w:val="24"/>
              </w:rPr>
              <w:t>燃料</w:t>
            </w:r>
          </w:p>
        </w:tc>
        <w:tc>
          <w:tcPr>
            <w:tcW w:w="449" w:type="pct"/>
            <w:tcBorders>
              <w:top w:val="single" w:sz="8" w:space="0" w:color="auto"/>
              <w:left w:val="nil"/>
              <w:bottom w:val="nil"/>
              <w:right w:val="nil"/>
            </w:tcBorders>
            <w:vAlign w:val="center"/>
          </w:tcPr>
          <w:p w14:paraId="5FB5CF69" w14:textId="26E8AEC6" w:rsidR="00385AD9" w:rsidRPr="00DB0836" w:rsidRDefault="00385AD9" w:rsidP="00385AD9">
            <w:pPr>
              <w:ind w:firstLineChars="0" w:firstLine="0"/>
              <w:jc w:val="center"/>
              <w:rPr>
                <w:sz w:val="24"/>
              </w:rPr>
            </w:pPr>
            <w:r w:rsidRPr="00FD55D0">
              <w:rPr>
                <w:sz w:val="24"/>
              </w:rPr>
              <w:t>47.71</w:t>
            </w:r>
          </w:p>
        </w:tc>
        <w:tc>
          <w:tcPr>
            <w:tcW w:w="448" w:type="pct"/>
            <w:tcBorders>
              <w:top w:val="single" w:sz="8" w:space="0" w:color="auto"/>
              <w:left w:val="nil"/>
              <w:bottom w:val="nil"/>
              <w:right w:val="nil"/>
            </w:tcBorders>
            <w:vAlign w:val="center"/>
          </w:tcPr>
          <w:p w14:paraId="5CE2D964" w14:textId="4785B1F4" w:rsidR="00385AD9" w:rsidRPr="00DB0836" w:rsidRDefault="00385AD9" w:rsidP="00385AD9">
            <w:pPr>
              <w:ind w:firstLineChars="0" w:firstLine="0"/>
              <w:jc w:val="center"/>
              <w:rPr>
                <w:sz w:val="24"/>
              </w:rPr>
            </w:pPr>
            <w:r w:rsidRPr="00FD55D0">
              <w:rPr>
                <w:sz w:val="24"/>
              </w:rPr>
              <w:t>0.63</w:t>
            </w:r>
          </w:p>
        </w:tc>
        <w:tc>
          <w:tcPr>
            <w:tcW w:w="448" w:type="pct"/>
            <w:tcBorders>
              <w:top w:val="single" w:sz="8" w:space="0" w:color="auto"/>
              <w:left w:val="nil"/>
              <w:bottom w:val="nil"/>
              <w:right w:val="nil"/>
            </w:tcBorders>
            <w:vAlign w:val="center"/>
          </w:tcPr>
          <w:p w14:paraId="05BAC0E6" w14:textId="6F08B72D" w:rsidR="00385AD9" w:rsidRPr="00DB0836" w:rsidRDefault="00385AD9" w:rsidP="00385AD9">
            <w:pPr>
              <w:ind w:firstLineChars="0" w:firstLine="0"/>
              <w:jc w:val="center"/>
              <w:rPr>
                <w:sz w:val="24"/>
              </w:rPr>
            </w:pPr>
            <w:r w:rsidRPr="00FD55D0">
              <w:rPr>
                <w:sz w:val="24"/>
              </w:rPr>
              <w:t>44.20</w:t>
            </w:r>
          </w:p>
        </w:tc>
        <w:tc>
          <w:tcPr>
            <w:tcW w:w="450" w:type="pct"/>
            <w:tcBorders>
              <w:top w:val="single" w:sz="8" w:space="0" w:color="auto"/>
              <w:left w:val="nil"/>
              <w:bottom w:val="nil"/>
              <w:right w:val="nil"/>
            </w:tcBorders>
            <w:vAlign w:val="center"/>
          </w:tcPr>
          <w:p w14:paraId="6886FCC9" w14:textId="3C683BE0" w:rsidR="00385AD9" w:rsidRPr="00DB0836" w:rsidRDefault="00385AD9" w:rsidP="00385AD9">
            <w:pPr>
              <w:ind w:firstLineChars="0" w:firstLine="0"/>
              <w:jc w:val="center"/>
              <w:rPr>
                <w:sz w:val="24"/>
              </w:rPr>
            </w:pPr>
            <w:r w:rsidRPr="00FD55D0">
              <w:rPr>
                <w:sz w:val="24"/>
              </w:rPr>
              <w:t>7.46</w:t>
            </w:r>
          </w:p>
        </w:tc>
        <w:tc>
          <w:tcPr>
            <w:tcW w:w="446" w:type="pct"/>
            <w:tcBorders>
              <w:top w:val="single" w:sz="8" w:space="0" w:color="auto"/>
              <w:left w:val="nil"/>
              <w:bottom w:val="nil"/>
              <w:right w:val="nil"/>
            </w:tcBorders>
            <w:vAlign w:val="center"/>
          </w:tcPr>
          <w:p w14:paraId="1D9CA4EE" w14:textId="05CDC40A" w:rsidR="00385AD9" w:rsidRPr="00DB0836" w:rsidRDefault="00385AD9" w:rsidP="00385AD9">
            <w:pPr>
              <w:ind w:firstLineChars="0" w:firstLine="0"/>
              <w:jc w:val="center"/>
              <w:rPr>
                <w:sz w:val="24"/>
              </w:rPr>
            </w:pPr>
            <w:r w:rsidRPr="00FD55D0">
              <w:rPr>
                <w:sz w:val="24"/>
              </w:rPr>
              <w:t>0.14</w:t>
            </w:r>
          </w:p>
        </w:tc>
        <w:tc>
          <w:tcPr>
            <w:tcW w:w="449" w:type="pct"/>
            <w:tcBorders>
              <w:top w:val="single" w:sz="8" w:space="0" w:color="auto"/>
              <w:left w:val="nil"/>
              <w:bottom w:val="nil"/>
              <w:right w:val="nil"/>
            </w:tcBorders>
            <w:vAlign w:val="center"/>
          </w:tcPr>
          <w:p w14:paraId="1D70063F" w14:textId="41E667EF" w:rsidR="00385AD9" w:rsidRPr="00DB0836" w:rsidRDefault="00385AD9" w:rsidP="00385AD9">
            <w:pPr>
              <w:ind w:firstLineChars="0" w:firstLine="0"/>
              <w:jc w:val="center"/>
              <w:rPr>
                <w:sz w:val="24"/>
              </w:rPr>
            </w:pPr>
            <w:r w:rsidRPr="00FD55D0">
              <w:rPr>
                <w:sz w:val="24"/>
              </w:rPr>
              <w:t>24.98</w:t>
            </w:r>
          </w:p>
        </w:tc>
        <w:tc>
          <w:tcPr>
            <w:tcW w:w="449" w:type="pct"/>
            <w:tcBorders>
              <w:top w:val="single" w:sz="8" w:space="0" w:color="auto"/>
              <w:left w:val="nil"/>
              <w:bottom w:val="nil"/>
              <w:right w:val="nil"/>
            </w:tcBorders>
            <w:vAlign w:val="center"/>
          </w:tcPr>
          <w:p w14:paraId="6DAC52CF" w14:textId="3F2E0D6C" w:rsidR="00385AD9" w:rsidRPr="00DB0836" w:rsidRDefault="00385AD9" w:rsidP="00385AD9">
            <w:pPr>
              <w:ind w:firstLineChars="0" w:firstLine="0"/>
              <w:jc w:val="center"/>
              <w:rPr>
                <w:sz w:val="24"/>
              </w:rPr>
            </w:pPr>
            <w:r w:rsidRPr="00FD55D0">
              <w:rPr>
                <w:sz w:val="24"/>
              </w:rPr>
              <w:t>3.20</w:t>
            </w:r>
          </w:p>
        </w:tc>
        <w:tc>
          <w:tcPr>
            <w:tcW w:w="455" w:type="pct"/>
            <w:tcBorders>
              <w:top w:val="single" w:sz="8" w:space="0" w:color="auto"/>
              <w:left w:val="nil"/>
              <w:bottom w:val="nil"/>
              <w:right w:val="nil"/>
            </w:tcBorders>
            <w:vAlign w:val="center"/>
          </w:tcPr>
          <w:p w14:paraId="06F1CAAF" w14:textId="64C5BAA7" w:rsidR="00385AD9" w:rsidRPr="00DB0836" w:rsidRDefault="00385AD9" w:rsidP="00385AD9">
            <w:pPr>
              <w:ind w:firstLineChars="0" w:firstLine="0"/>
              <w:jc w:val="center"/>
              <w:rPr>
                <w:sz w:val="24"/>
              </w:rPr>
            </w:pPr>
            <w:r w:rsidRPr="00FD55D0">
              <w:rPr>
                <w:sz w:val="24"/>
              </w:rPr>
              <w:t>0</w:t>
            </w:r>
          </w:p>
        </w:tc>
        <w:tc>
          <w:tcPr>
            <w:tcW w:w="442" w:type="pct"/>
            <w:tcBorders>
              <w:top w:val="single" w:sz="8" w:space="0" w:color="auto"/>
              <w:left w:val="nil"/>
              <w:bottom w:val="nil"/>
              <w:right w:val="nil"/>
            </w:tcBorders>
            <w:vAlign w:val="center"/>
          </w:tcPr>
          <w:p w14:paraId="04F95C3E" w14:textId="275210CA" w:rsidR="00385AD9" w:rsidRPr="00DB0836" w:rsidRDefault="00BC22DE" w:rsidP="00385AD9">
            <w:pPr>
              <w:ind w:firstLineChars="0" w:firstLine="0"/>
              <w:jc w:val="center"/>
              <w:rPr>
                <w:sz w:val="24"/>
              </w:rPr>
            </w:pPr>
            <w:r w:rsidRPr="00DB0836">
              <w:rPr>
                <w:rFonts w:hint="eastAsia"/>
                <w:sz w:val="24"/>
              </w:rPr>
              <w:t>70.48</w:t>
            </w:r>
          </w:p>
        </w:tc>
      </w:tr>
      <w:tr w:rsidR="00014A18" w:rsidRPr="00FD55D0" w14:paraId="105614E8" w14:textId="77777777" w:rsidTr="00014A18">
        <w:trPr>
          <w:trHeight w:val="224"/>
          <w:jc w:val="center"/>
        </w:trPr>
        <w:tc>
          <w:tcPr>
            <w:tcW w:w="546" w:type="pct"/>
            <w:vMerge/>
            <w:tcBorders>
              <w:top w:val="single" w:sz="4" w:space="0" w:color="auto"/>
              <w:left w:val="nil"/>
              <w:bottom w:val="single" w:sz="8" w:space="0" w:color="auto"/>
              <w:right w:val="nil"/>
            </w:tcBorders>
            <w:vAlign w:val="center"/>
          </w:tcPr>
          <w:p w14:paraId="1BA79B46" w14:textId="77777777" w:rsidR="00385AD9" w:rsidRPr="00385AD9" w:rsidRDefault="00385AD9" w:rsidP="00385AD9">
            <w:pPr>
              <w:ind w:firstLineChars="0" w:firstLine="0"/>
              <w:jc w:val="center"/>
              <w:rPr>
                <w:sz w:val="24"/>
              </w:rPr>
            </w:pPr>
          </w:p>
        </w:tc>
        <w:tc>
          <w:tcPr>
            <w:tcW w:w="418" w:type="pct"/>
            <w:tcBorders>
              <w:top w:val="nil"/>
              <w:left w:val="nil"/>
              <w:bottom w:val="nil"/>
              <w:right w:val="nil"/>
            </w:tcBorders>
            <w:vAlign w:val="center"/>
          </w:tcPr>
          <w:p w14:paraId="07FC92B7" w14:textId="1D8D78E9" w:rsidR="00385AD9" w:rsidRPr="00014A18" w:rsidRDefault="00385AD9" w:rsidP="00385AD9">
            <w:pPr>
              <w:ind w:firstLineChars="0" w:firstLine="0"/>
              <w:jc w:val="center"/>
              <w:rPr>
                <w:sz w:val="24"/>
              </w:rPr>
            </w:pPr>
            <w:r w:rsidRPr="00014A18">
              <w:rPr>
                <w:sz w:val="24"/>
              </w:rPr>
              <w:t>飞灰</w:t>
            </w:r>
          </w:p>
        </w:tc>
        <w:tc>
          <w:tcPr>
            <w:tcW w:w="449" w:type="pct"/>
            <w:tcBorders>
              <w:top w:val="nil"/>
              <w:left w:val="nil"/>
              <w:bottom w:val="nil"/>
              <w:right w:val="nil"/>
            </w:tcBorders>
            <w:vAlign w:val="center"/>
          </w:tcPr>
          <w:p w14:paraId="7F95387D" w14:textId="253E7A04" w:rsidR="00385AD9" w:rsidRPr="00014A18" w:rsidRDefault="00385AD9" w:rsidP="00385AD9">
            <w:pPr>
              <w:ind w:firstLineChars="0" w:firstLine="0"/>
              <w:jc w:val="center"/>
              <w:rPr>
                <w:sz w:val="24"/>
              </w:rPr>
            </w:pPr>
            <w:r w:rsidRPr="00FD55D0">
              <w:rPr>
                <w:sz w:val="24"/>
              </w:rPr>
              <w:t>1.92</w:t>
            </w:r>
          </w:p>
        </w:tc>
        <w:tc>
          <w:tcPr>
            <w:tcW w:w="448" w:type="pct"/>
            <w:tcBorders>
              <w:top w:val="nil"/>
              <w:left w:val="nil"/>
              <w:bottom w:val="nil"/>
              <w:right w:val="nil"/>
            </w:tcBorders>
            <w:vAlign w:val="center"/>
          </w:tcPr>
          <w:p w14:paraId="1AA51497" w14:textId="35DE4939" w:rsidR="00385AD9" w:rsidRPr="00014A18" w:rsidRDefault="00385AD9" w:rsidP="00385AD9">
            <w:pPr>
              <w:ind w:firstLineChars="0" w:firstLine="0"/>
              <w:jc w:val="center"/>
              <w:rPr>
                <w:sz w:val="24"/>
              </w:rPr>
            </w:pPr>
            <w:r w:rsidRPr="00FD55D0">
              <w:rPr>
                <w:sz w:val="24"/>
              </w:rPr>
              <w:t>8</w:t>
            </w:r>
            <w:r w:rsidR="00DB0836" w:rsidRPr="00014A18">
              <w:rPr>
                <w:rFonts w:hint="eastAsia"/>
                <w:sz w:val="24"/>
              </w:rPr>
              <w:t>9</w:t>
            </w:r>
            <w:r w:rsidRPr="00FD55D0">
              <w:rPr>
                <w:sz w:val="24"/>
              </w:rPr>
              <w:t>.23</w:t>
            </w:r>
          </w:p>
        </w:tc>
        <w:tc>
          <w:tcPr>
            <w:tcW w:w="448" w:type="pct"/>
            <w:tcBorders>
              <w:top w:val="nil"/>
              <w:left w:val="nil"/>
              <w:bottom w:val="nil"/>
              <w:right w:val="nil"/>
            </w:tcBorders>
            <w:vAlign w:val="center"/>
          </w:tcPr>
          <w:p w14:paraId="4A139E07" w14:textId="7B3FE7A5" w:rsidR="00385AD9" w:rsidRPr="00014A18" w:rsidRDefault="00DB0836" w:rsidP="00385AD9">
            <w:pPr>
              <w:ind w:firstLineChars="0" w:firstLine="0"/>
              <w:jc w:val="center"/>
              <w:rPr>
                <w:sz w:val="24"/>
              </w:rPr>
            </w:pPr>
            <w:r w:rsidRPr="00014A18">
              <w:rPr>
                <w:rFonts w:hint="eastAsia"/>
                <w:sz w:val="24"/>
              </w:rPr>
              <w:t>2</w:t>
            </w:r>
            <w:r w:rsidR="00385AD9" w:rsidRPr="00FD55D0">
              <w:rPr>
                <w:sz w:val="24"/>
              </w:rPr>
              <w:t>.31</w:t>
            </w:r>
          </w:p>
        </w:tc>
        <w:tc>
          <w:tcPr>
            <w:tcW w:w="450" w:type="pct"/>
            <w:tcBorders>
              <w:top w:val="nil"/>
              <w:left w:val="nil"/>
              <w:bottom w:val="nil"/>
              <w:right w:val="nil"/>
            </w:tcBorders>
            <w:vAlign w:val="center"/>
          </w:tcPr>
          <w:p w14:paraId="6DA23CB8" w14:textId="347AFC24" w:rsidR="00385AD9" w:rsidRPr="00014A18" w:rsidRDefault="00DB0836" w:rsidP="00385AD9">
            <w:pPr>
              <w:ind w:firstLineChars="0" w:firstLine="0"/>
              <w:jc w:val="center"/>
              <w:rPr>
                <w:sz w:val="24"/>
              </w:rPr>
            </w:pPr>
            <w:r w:rsidRPr="00014A18">
              <w:rPr>
                <w:rFonts w:hint="eastAsia"/>
                <w:sz w:val="24"/>
              </w:rPr>
              <w:t>6.54</w:t>
            </w:r>
          </w:p>
        </w:tc>
        <w:tc>
          <w:tcPr>
            <w:tcW w:w="446" w:type="pct"/>
            <w:tcBorders>
              <w:top w:val="nil"/>
              <w:left w:val="nil"/>
              <w:bottom w:val="nil"/>
              <w:right w:val="nil"/>
            </w:tcBorders>
            <w:vAlign w:val="center"/>
          </w:tcPr>
          <w:p w14:paraId="0400584E" w14:textId="52A580A5" w:rsidR="00385AD9" w:rsidRPr="00014A18" w:rsidRDefault="00385AD9" w:rsidP="00385AD9">
            <w:pPr>
              <w:ind w:firstLineChars="0" w:firstLine="0"/>
              <w:jc w:val="center"/>
              <w:rPr>
                <w:sz w:val="24"/>
              </w:rPr>
            </w:pPr>
            <w:r w:rsidRPr="00FD55D0">
              <w:rPr>
                <w:sz w:val="24"/>
              </w:rPr>
              <w:t>0.12</w:t>
            </w:r>
          </w:p>
        </w:tc>
        <w:tc>
          <w:tcPr>
            <w:tcW w:w="449" w:type="pct"/>
            <w:tcBorders>
              <w:top w:val="nil"/>
              <w:left w:val="nil"/>
              <w:bottom w:val="nil"/>
              <w:right w:val="nil"/>
            </w:tcBorders>
            <w:vAlign w:val="center"/>
          </w:tcPr>
          <w:p w14:paraId="1C486CBF" w14:textId="29923734" w:rsidR="00385AD9" w:rsidRPr="00014A18" w:rsidRDefault="00DB0836" w:rsidP="00385AD9">
            <w:pPr>
              <w:ind w:firstLineChars="0" w:firstLine="0"/>
              <w:jc w:val="center"/>
              <w:rPr>
                <w:sz w:val="24"/>
              </w:rPr>
            </w:pPr>
            <w:r w:rsidRPr="00014A18">
              <w:rPr>
                <w:rFonts w:hint="eastAsia"/>
                <w:sz w:val="24"/>
              </w:rPr>
              <w:t>7.09</w:t>
            </w:r>
          </w:p>
        </w:tc>
        <w:tc>
          <w:tcPr>
            <w:tcW w:w="449" w:type="pct"/>
            <w:tcBorders>
              <w:top w:val="nil"/>
              <w:left w:val="nil"/>
              <w:bottom w:val="nil"/>
              <w:right w:val="nil"/>
            </w:tcBorders>
            <w:vAlign w:val="center"/>
          </w:tcPr>
          <w:p w14:paraId="2180AF02" w14:textId="20342466" w:rsidR="00385AD9" w:rsidRPr="00014A18" w:rsidRDefault="00385AD9" w:rsidP="00385AD9">
            <w:pPr>
              <w:ind w:firstLineChars="0" w:firstLine="0"/>
              <w:jc w:val="center"/>
              <w:rPr>
                <w:sz w:val="24"/>
              </w:rPr>
            </w:pPr>
            <w:r w:rsidRPr="00FD55D0">
              <w:rPr>
                <w:sz w:val="24"/>
              </w:rPr>
              <w:t>0.21</w:t>
            </w:r>
          </w:p>
        </w:tc>
        <w:tc>
          <w:tcPr>
            <w:tcW w:w="455" w:type="pct"/>
            <w:tcBorders>
              <w:top w:val="nil"/>
              <w:left w:val="nil"/>
              <w:bottom w:val="nil"/>
              <w:right w:val="nil"/>
            </w:tcBorders>
            <w:vAlign w:val="center"/>
          </w:tcPr>
          <w:p w14:paraId="60C6AE79" w14:textId="29F0E1D1" w:rsidR="00385AD9" w:rsidRPr="00014A18" w:rsidRDefault="00DB0836" w:rsidP="00385AD9">
            <w:pPr>
              <w:ind w:firstLineChars="0" w:firstLine="0"/>
              <w:jc w:val="center"/>
              <w:rPr>
                <w:sz w:val="24"/>
              </w:rPr>
            </w:pPr>
            <w:r w:rsidRPr="00014A18">
              <w:rPr>
                <w:rFonts w:hint="eastAsia"/>
                <w:sz w:val="24"/>
              </w:rPr>
              <w:t>0</w:t>
            </w:r>
          </w:p>
        </w:tc>
        <w:tc>
          <w:tcPr>
            <w:tcW w:w="442" w:type="pct"/>
            <w:tcBorders>
              <w:top w:val="nil"/>
              <w:left w:val="nil"/>
              <w:bottom w:val="nil"/>
              <w:right w:val="nil"/>
            </w:tcBorders>
            <w:vAlign w:val="center"/>
          </w:tcPr>
          <w:p w14:paraId="4120547D" w14:textId="0FAF2DD2" w:rsidR="00385AD9" w:rsidRPr="00014A18" w:rsidRDefault="00DB0836" w:rsidP="00385AD9">
            <w:pPr>
              <w:ind w:firstLineChars="0" w:firstLine="0"/>
              <w:jc w:val="center"/>
              <w:rPr>
                <w:sz w:val="24"/>
              </w:rPr>
            </w:pPr>
            <w:r w:rsidRPr="00014A18">
              <w:rPr>
                <w:rFonts w:hint="eastAsia"/>
                <w:sz w:val="24"/>
              </w:rPr>
              <w:t>1.60</w:t>
            </w:r>
          </w:p>
        </w:tc>
      </w:tr>
      <w:tr w:rsidR="00B52619" w:rsidRPr="00FD55D0" w14:paraId="57A772B7" w14:textId="77777777" w:rsidTr="00B52619">
        <w:trPr>
          <w:trHeight w:val="224"/>
          <w:jc w:val="center"/>
        </w:trPr>
        <w:tc>
          <w:tcPr>
            <w:tcW w:w="546" w:type="pct"/>
            <w:vMerge/>
            <w:tcBorders>
              <w:top w:val="single" w:sz="4" w:space="0" w:color="auto"/>
              <w:left w:val="nil"/>
              <w:bottom w:val="single" w:sz="8" w:space="0" w:color="auto"/>
              <w:right w:val="nil"/>
            </w:tcBorders>
            <w:vAlign w:val="center"/>
          </w:tcPr>
          <w:p w14:paraId="00A2DA7C" w14:textId="77777777" w:rsidR="00BC22DE" w:rsidRPr="00385AD9" w:rsidRDefault="00BC22DE" w:rsidP="00BC22DE">
            <w:pPr>
              <w:ind w:firstLineChars="0" w:firstLine="0"/>
              <w:jc w:val="center"/>
              <w:rPr>
                <w:sz w:val="24"/>
              </w:rPr>
            </w:pPr>
          </w:p>
        </w:tc>
        <w:tc>
          <w:tcPr>
            <w:tcW w:w="418" w:type="pct"/>
            <w:tcBorders>
              <w:top w:val="nil"/>
              <w:left w:val="nil"/>
              <w:bottom w:val="single" w:sz="8" w:space="0" w:color="auto"/>
              <w:right w:val="nil"/>
            </w:tcBorders>
            <w:vAlign w:val="center"/>
          </w:tcPr>
          <w:p w14:paraId="02A4773B" w14:textId="57643718" w:rsidR="00BC22DE" w:rsidRPr="00014A18" w:rsidRDefault="00BC22DE" w:rsidP="00BC22DE">
            <w:pPr>
              <w:ind w:firstLineChars="0" w:firstLine="0"/>
              <w:jc w:val="center"/>
              <w:rPr>
                <w:sz w:val="24"/>
              </w:rPr>
            </w:pPr>
            <w:proofErr w:type="gramStart"/>
            <w:r w:rsidRPr="00014A18">
              <w:rPr>
                <w:sz w:val="24"/>
              </w:rPr>
              <w:t>底渣</w:t>
            </w:r>
            <w:proofErr w:type="gramEnd"/>
          </w:p>
        </w:tc>
        <w:tc>
          <w:tcPr>
            <w:tcW w:w="449" w:type="pct"/>
            <w:tcBorders>
              <w:top w:val="nil"/>
              <w:left w:val="nil"/>
              <w:bottom w:val="single" w:sz="8" w:space="0" w:color="auto"/>
              <w:right w:val="nil"/>
            </w:tcBorders>
            <w:vAlign w:val="center"/>
          </w:tcPr>
          <w:p w14:paraId="7A7EBE0A" w14:textId="0AAD154F" w:rsidR="00BC22DE" w:rsidRPr="00014A18" w:rsidRDefault="00BC22DE" w:rsidP="00BC22DE">
            <w:pPr>
              <w:ind w:firstLineChars="0" w:firstLine="0"/>
              <w:jc w:val="center"/>
              <w:rPr>
                <w:sz w:val="24"/>
              </w:rPr>
            </w:pPr>
            <w:r w:rsidRPr="00FD55D0">
              <w:rPr>
                <w:sz w:val="24"/>
              </w:rPr>
              <w:t>0.</w:t>
            </w:r>
            <w:r w:rsidR="00014A18" w:rsidRPr="00014A18">
              <w:rPr>
                <w:rFonts w:hint="eastAsia"/>
                <w:sz w:val="24"/>
              </w:rPr>
              <w:t>37</w:t>
            </w:r>
          </w:p>
        </w:tc>
        <w:tc>
          <w:tcPr>
            <w:tcW w:w="448" w:type="pct"/>
            <w:tcBorders>
              <w:top w:val="nil"/>
              <w:left w:val="nil"/>
              <w:bottom w:val="single" w:sz="8" w:space="0" w:color="auto"/>
              <w:right w:val="nil"/>
            </w:tcBorders>
            <w:vAlign w:val="center"/>
          </w:tcPr>
          <w:p w14:paraId="6B4D8664" w14:textId="3CB82F93" w:rsidR="00BC22DE" w:rsidRPr="00014A18" w:rsidRDefault="00014A18" w:rsidP="00BC22DE">
            <w:pPr>
              <w:ind w:firstLineChars="0" w:firstLine="0"/>
              <w:jc w:val="center"/>
              <w:rPr>
                <w:sz w:val="24"/>
              </w:rPr>
            </w:pPr>
            <w:r w:rsidRPr="00014A18">
              <w:rPr>
                <w:rFonts w:hint="eastAsia"/>
                <w:sz w:val="24"/>
              </w:rPr>
              <w:t>96.30</w:t>
            </w:r>
          </w:p>
        </w:tc>
        <w:tc>
          <w:tcPr>
            <w:tcW w:w="448" w:type="pct"/>
            <w:tcBorders>
              <w:top w:val="nil"/>
              <w:left w:val="nil"/>
              <w:bottom w:val="single" w:sz="8" w:space="0" w:color="auto"/>
              <w:right w:val="nil"/>
            </w:tcBorders>
            <w:vAlign w:val="center"/>
          </w:tcPr>
          <w:p w14:paraId="1829AC7B" w14:textId="09A6602C" w:rsidR="00BC22DE" w:rsidRPr="00014A18" w:rsidRDefault="00014A18" w:rsidP="00BC22DE">
            <w:pPr>
              <w:ind w:firstLineChars="0" w:firstLine="0"/>
              <w:jc w:val="center"/>
              <w:rPr>
                <w:sz w:val="24"/>
              </w:rPr>
            </w:pPr>
            <w:r w:rsidRPr="00014A18">
              <w:rPr>
                <w:rFonts w:hint="eastAsia"/>
                <w:sz w:val="24"/>
              </w:rPr>
              <w:t>2</w:t>
            </w:r>
            <w:r w:rsidR="00B52619">
              <w:rPr>
                <w:rFonts w:hint="eastAsia"/>
                <w:sz w:val="24"/>
              </w:rPr>
              <w:t>.00</w:t>
            </w:r>
          </w:p>
        </w:tc>
        <w:tc>
          <w:tcPr>
            <w:tcW w:w="450" w:type="pct"/>
            <w:tcBorders>
              <w:top w:val="nil"/>
              <w:left w:val="nil"/>
              <w:bottom w:val="single" w:sz="8" w:space="0" w:color="auto"/>
              <w:right w:val="nil"/>
            </w:tcBorders>
            <w:vAlign w:val="center"/>
          </w:tcPr>
          <w:p w14:paraId="11CAB1CB" w14:textId="26B5FD22" w:rsidR="00BC22DE" w:rsidRPr="00014A18" w:rsidRDefault="00014A18" w:rsidP="00BC22DE">
            <w:pPr>
              <w:ind w:firstLineChars="0" w:firstLine="0"/>
              <w:jc w:val="center"/>
              <w:rPr>
                <w:sz w:val="24"/>
              </w:rPr>
            </w:pPr>
            <w:r w:rsidRPr="00014A18">
              <w:rPr>
                <w:rFonts w:hint="eastAsia"/>
                <w:sz w:val="24"/>
              </w:rPr>
              <w:t>1.33</w:t>
            </w:r>
          </w:p>
        </w:tc>
        <w:tc>
          <w:tcPr>
            <w:tcW w:w="446" w:type="pct"/>
            <w:tcBorders>
              <w:top w:val="nil"/>
              <w:left w:val="nil"/>
              <w:bottom w:val="single" w:sz="8" w:space="0" w:color="auto"/>
              <w:right w:val="nil"/>
            </w:tcBorders>
          </w:tcPr>
          <w:p w14:paraId="28137AAF" w14:textId="596898CF" w:rsidR="00BC22DE" w:rsidRPr="00014A18" w:rsidRDefault="00BC22DE" w:rsidP="00BC22DE">
            <w:pPr>
              <w:ind w:firstLineChars="0" w:firstLine="0"/>
              <w:jc w:val="center"/>
              <w:rPr>
                <w:sz w:val="24"/>
              </w:rPr>
            </w:pPr>
            <w:r w:rsidRPr="00014A18">
              <w:rPr>
                <w:sz w:val="24"/>
              </w:rPr>
              <w:t>0</w:t>
            </w:r>
            <w:r w:rsidRPr="00014A18">
              <w:rPr>
                <w:rFonts w:hint="eastAsia"/>
                <w:sz w:val="24"/>
              </w:rPr>
              <w:t>.0</w:t>
            </w:r>
            <w:r w:rsidR="00DB0836" w:rsidRPr="00014A18">
              <w:rPr>
                <w:rFonts w:hint="eastAsia"/>
                <w:sz w:val="24"/>
              </w:rPr>
              <w:t>2</w:t>
            </w:r>
          </w:p>
        </w:tc>
        <w:tc>
          <w:tcPr>
            <w:tcW w:w="449" w:type="pct"/>
            <w:tcBorders>
              <w:top w:val="nil"/>
              <w:left w:val="nil"/>
              <w:bottom w:val="single" w:sz="8" w:space="0" w:color="auto"/>
              <w:right w:val="nil"/>
            </w:tcBorders>
          </w:tcPr>
          <w:p w14:paraId="0E565F6C" w14:textId="44C20595" w:rsidR="00BC22DE" w:rsidRPr="00014A18" w:rsidRDefault="00014A18" w:rsidP="00BC22DE">
            <w:pPr>
              <w:ind w:firstLineChars="0" w:firstLine="0"/>
              <w:jc w:val="center"/>
              <w:rPr>
                <w:sz w:val="24"/>
              </w:rPr>
            </w:pPr>
            <w:r w:rsidRPr="00014A18">
              <w:rPr>
                <w:rFonts w:hint="eastAsia"/>
                <w:sz w:val="24"/>
              </w:rPr>
              <w:t>1.29</w:t>
            </w:r>
          </w:p>
        </w:tc>
        <w:tc>
          <w:tcPr>
            <w:tcW w:w="449" w:type="pct"/>
            <w:tcBorders>
              <w:top w:val="nil"/>
              <w:left w:val="nil"/>
              <w:bottom w:val="single" w:sz="8" w:space="0" w:color="auto"/>
              <w:right w:val="nil"/>
            </w:tcBorders>
          </w:tcPr>
          <w:p w14:paraId="22976F87" w14:textId="0C82393C" w:rsidR="00BC22DE" w:rsidRPr="00014A18" w:rsidRDefault="00BC22DE" w:rsidP="00BC22DE">
            <w:pPr>
              <w:ind w:firstLineChars="0" w:firstLine="0"/>
              <w:jc w:val="center"/>
              <w:rPr>
                <w:sz w:val="24"/>
              </w:rPr>
            </w:pPr>
            <w:r w:rsidRPr="00014A18">
              <w:rPr>
                <w:sz w:val="24"/>
              </w:rPr>
              <w:t>0</w:t>
            </w:r>
            <w:r w:rsidR="00DB0836" w:rsidRPr="00014A18">
              <w:rPr>
                <w:rFonts w:hint="eastAsia"/>
                <w:sz w:val="24"/>
              </w:rPr>
              <w:t>.08</w:t>
            </w:r>
          </w:p>
        </w:tc>
        <w:tc>
          <w:tcPr>
            <w:tcW w:w="455" w:type="pct"/>
            <w:tcBorders>
              <w:top w:val="nil"/>
              <w:left w:val="nil"/>
              <w:bottom w:val="single" w:sz="8" w:space="0" w:color="auto"/>
              <w:right w:val="nil"/>
            </w:tcBorders>
          </w:tcPr>
          <w:p w14:paraId="269E57D9" w14:textId="27F2E5A0" w:rsidR="00BC22DE" w:rsidRPr="00014A18" w:rsidRDefault="00DB0836" w:rsidP="00BC22DE">
            <w:pPr>
              <w:ind w:firstLineChars="0" w:firstLine="0"/>
              <w:jc w:val="center"/>
              <w:rPr>
                <w:sz w:val="24"/>
              </w:rPr>
            </w:pPr>
            <w:r w:rsidRPr="00014A18">
              <w:rPr>
                <w:rFonts w:hint="eastAsia"/>
                <w:sz w:val="24"/>
              </w:rPr>
              <w:t>0</w:t>
            </w:r>
          </w:p>
        </w:tc>
        <w:tc>
          <w:tcPr>
            <w:tcW w:w="442" w:type="pct"/>
            <w:tcBorders>
              <w:top w:val="nil"/>
              <w:left w:val="nil"/>
              <w:bottom w:val="single" w:sz="8" w:space="0" w:color="auto"/>
              <w:right w:val="nil"/>
            </w:tcBorders>
            <w:vAlign w:val="center"/>
          </w:tcPr>
          <w:p w14:paraId="239CF674" w14:textId="1C90B61E" w:rsidR="00BC22DE" w:rsidRPr="00014A18" w:rsidRDefault="00B52619" w:rsidP="00BC22DE">
            <w:pPr>
              <w:ind w:firstLineChars="0" w:firstLine="0"/>
              <w:jc w:val="center"/>
              <w:rPr>
                <w:sz w:val="24"/>
              </w:rPr>
            </w:pPr>
            <w:r>
              <w:rPr>
                <w:rFonts w:hint="eastAsia"/>
                <w:sz w:val="24"/>
              </w:rPr>
              <w:t>1.95</w:t>
            </w:r>
          </w:p>
        </w:tc>
      </w:tr>
      <w:tr w:rsidR="00014A18" w:rsidRPr="00FD55D0" w14:paraId="2E6744F0" w14:textId="77777777" w:rsidTr="00B52619">
        <w:trPr>
          <w:trHeight w:val="224"/>
          <w:jc w:val="center"/>
        </w:trPr>
        <w:tc>
          <w:tcPr>
            <w:tcW w:w="546" w:type="pct"/>
            <w:vMerge w:val="restart"/>
            <w:tcBorders>
              <w:top w:val="single" w:sz="4" w:space="0" w:color="auto"/>
              <w:left w:val="nil"/>
              <w:right w:val="nil"/>
            </w:tcBorders>
            <w:vAlign w:val="center"/>
          </w:tcPr>
          <w:p w14:paraId="24E51E69" w14:textId="77777777" w:rsidR="00014A18" w:rsidRDefault="00014A18" w:rsidP="00014A18">
            <w:pPr>
              <w:ind w:firstLineChars="0" w:firstLine="0"/>
              <w:jc w:val="center"/>
              <w:rPr>
                <w:sz w:val="24"/>
              </w:rPr>
            </w:pPr>
            <w:r>
              <w:rPr>
                <w:rFonts w:hint="eastAsia"/>
                <w:sz w:val="24"/>
              </w:rPr>
              <w:t>企业</w:t>
            </w:r>
            <w:r>
              <w:rPr>
                <w:rFonts w:hint="eastAsia"/>
                <w:sz w:val="24"/>
              </w:rPr>
              <w:t>3</w:t>
            </w:r>
          </w:p>
          <w:p w14:paraId="04CC65BC" w14:textId="77777777" w:rsidR="00014A18" w:rsidRDefault="00014A18" w:rsidP="00014A18">
            <w:pPr>
              <w:ind w:firstLineChars="0" w:firstLine="0"/>
              <w:jc w:val="center"/>
              <w:rPr>
                <w:sz w:val="24"/>
              </w:rPr>
            </w:pPr>
            <w:r>
              <w:rPr>
                <w:rFonts w:hint="eastAsia"/>
                <w:sz w:val="24"/>
              </w:rPr>
              <w:t>30t/h</w:t>
            </w:r>
          </w:p>
          <w:p w14:paraId="2A1FB6CC" w14:textId="30678AA1" w:rsidR="00014A18" w:rsidRPr="00385AD9" w:rsidRDefault="00014A18" w:rsidP="00014A18">
            <w:pPr>
              <w:ind w:firstLineChars="0" w:firstLine="0"/>
              <w:jc w:val="center"/>
              <w:rPr>
                <w:sz w:val="24"/>
              </w:rPr>
            </w:pPr>
            <w:r>
              <w:rPr>
                <w:rFonts w:hint="eastAsia"/>
                <w:sz w:val="24"/>
              </w:rPr>
              <w:t>层燃炉</w:t>
            </w:r>
          </w:p>
        </w:tc>
        <w:tc>
          <w:tcPr>
            <w:tcW w:w="418" w:type="pct"/>
            <w:tcBorders>
              <w:top w:val="nil"/>
              <w:left w:val="nil"/>
              <w:bottom w:val="single" w:sz="8" w:space="0" w:color="auto"/>
              <w:right w:val="nil"/>
            </w:tcBorders>
            <w:vAlign w:val="center"/>
          </w:tcPr>
          <w:p w14:paraId="1DB48874" w14:textId="07B2D31D" w:rsidR="00014A18" w:rsidRPr="00014A18" w:rsidRDefault="00014A18" w:rsidP="00014A18">
            <w:pPr>
              <w:ind w:firstLineChars="0" w:firstLine="0"/>
              <w:jc w:val="center"/>
              <w:rPr>
                <w:sz w:val="24"/>
              </w:rPr>
            </w:pPr>
            <w:r w:rsidRPr="00FD55D0">
              <w:rPr>
                <w:sz w:val="24"/>
              </w:rPr>
              <w:t>燃料</w:t>
            </w:r>
          </w:p>
        </w:tc>
        <w:tc>
          <w:tcPr>
            <w:tcW w:w="449" w:type="pct"/>
            <w:tcBorders>
              <w:top w:val="single" w:sz="8" w:space="0" w:color="auto"/>
              <w:left w:val="nil"/>
              <w:bottom w:val="single" w:sz="8" w:space="0" w:color="auto"/>
              <w:right w:val="nil"/>
            </w:tcBorders>
            <w:vAlign w:val="center"/>
          </w:tcPr>
          <w:p w14:paraId="31E38389" w14:textId="0AA4FB72" w:rsidR="00014A18" w:rsidRPr="00014A18" w:rsidRDefault="00014A18" w:rsidP="00B52619">
            <w:pPr>
              <w:ind w:firstLineChars="0" w:firstLine="0"/>
              <w:jc w:val="center"/>
              <w:rPr>
                <w:sz w:val="24"/>
              </w:rPr>
            </w:pPr>
            <w:r w:rsidRPr="00014A18">
              <w:rPr>
                <w:sz w:val="24"/>
              </w:rPr>
              <w:t>31.7</w:t>
            </w:r>
          </w:p>
        </w:tc>
        <w:tc>
          <w:tcPr>
            <w:tcW w:w="448" w:type="pct"/>
            <w:tcBorders>
              <w:top w:val="single" w:sz="8" w:space="0" w:color="auto"/>
              <w:left w:val="nil"/>
              <w:bottom w:val="single" w:sz="8" w:space="0" w:color="auto"/>
              <w:right w:val="nil"/>
            </w:tcBorders>
            <w:vAlign w:val="center"/>
          </w:tcPr>
          <w:p w14:paraId="0039FDDC" w14:textId="764EF736" w:rsidR="00014A18" w:rsidRPr="00014A18" w:rsidRDefault="00014A18" w:rsidP="00B52619">
            <w:pPr>
              <w:ind w:firstLineChars="0" w:firstLine="0"/>
              <w:jc w:val="center"/>
              <w:rPr>
                <w:sz w:val="24"/>
              </w:rPr>
            </w:pPr>
            <w:r w:rsidRPr="00014A18">
              <w:rPr>
                <w:sz w:val="24"/>
              </w:rPr>
              <w:t>4.19</w:t>
            </w:r>
          </w:p>
        </w:tc>
        <w:tc>
          <w:tcPr>
            <w:tcW w:w="448" w:type="pct"/>
            <w:tcBorders>
              <w:top w:val="single" w:sz="8" w:space="0" w:color="auto"/>
              <w:left w:val="nil"/>
              <w:bottom w:val="single" w:sz="8" w:space="0" w:color="auto"/>
              <w:right w:val="nil"/>
            </w:tcBorders>
            <w:vAlign w:val="center"/>
          </w:tcPr>
          <w:p w14:paraId="4BCC814A" w14:textId="4E6ED8AA" w:rsidR="00014A18" w:rsidRPr="00014A18" w:rsidRDefault="00014A18" w:rsidP="00B52619">
            <w:pPr>
              <w:ind w:firstLineChars="0" w:firstLine="0"/>
              <w:jc w:val="center"/>
              <w:rPr>
                <w:sz w:val="24"/>
              </w:rPr>
            </w:pPr>
            <w:r w:rsidRPr="00014A18">
              <w:rPr>
                <w:sz w:val="24"/>
              </w:rPr>
              <w:t>39.4</w:t>
            </w:r>
          </w:p>
        </w:tc>
        <w:tc>
          <w:tcPr>
            <w:tcW w:w="450" w:type="pct"/>
            <w:tcBorders>
              <w:top w:val="single" w:sz="8" w:space="0" w:color="auto"/>
              <w:left w:val="nil"/>
              <w:bottom w:val="single" w:sz="8" w:space="0" w:color="auto"/>
              <w:right w:val="nil"/>
            </w:tcBorders>
            <w:vAlign w:val="center"/>
          </w:tcPr>
          <w:p w14:paraId="7F88DFB4" w14:textId="0D7AC9F4" w:rsidR="00014A18" w:rsidRPr="00014A18" w:rsidRDefault="00014A18" w:rsidP="00B52619">
            <w:pPr>
              <w:ind w:firstLineChars="0" w:firstLine="0"/>
              <w:jc w:val="center"/>
              <w:rPr>
                <w:sz w:val="24"/>
              </w:rPr>
            </w:pPr>
            <w:r w:rsidRPr="00014A18">
              <w:rPr>
                <w:sz w:val="24"/>
              </w:rPr>
              <w:t>24.71</w:t>
            </w:r>
          </w:p>
        </w:tc>
        <w:tc>
          <w:tcPr>
            <w:tcW w:w="446" w:type="pct"/>
            <w:tcBorders>
              <w:top w:val="single" w:sz="8" w:space="0" w:color="auto"/>
              <w:left w:val="nil"/>
              <w:bottom w:val="single" w:sz="8" w:space="0" w:color="auto"/>
              <w:right w:val="nil"/>
            </w:tcBorders>
            <w:vAlign w:val="center"/>
          </w:tcPr>
          <w:p w14:paraId="40FAF33A" w14:textId="0A0EAB20" w:rsidR="00014A18" w:rsidRPr="00014A18" w:rsidRDefault="00014A18" w:rsidP="00B52619">
            <w:pPr>
              <w:ind w:firstLineChars="0" w:firstLine="0"/>
              <w:jc w:val="center"/>
              <w:rPr>
                <w:sz w:val="24"/>
              </w:rPr>
            </w:pPr>
            <w:r w:rsidRPr="00014A18">
              <w:rPr>
                <w:sz w:val="24"/>
              </w:rPr>
              <w:t>0.38</w:t>
            </w:r>
          </w:p>
        </w:tc>
        <w:tc>
          <w:tcPr>
            <w:tcW w:w="449" w:type="pct"/>
            <w:tcBorders>
              <w:top w:val="single" w:sz="8" w:space="0" w:color="auto"/>
              <w:left w:val="nil"/>
              <w:bottom w:val="single" w:sz="8" w:space="0" w:color="auto"/>
              <w:right w:val="nil"/>
            </w:tcBorders>
            <w:vAlign w:val="center"/>
          </w:tcPr>
          <w:p w14:paraId="7651D534" w14:textId="6FC794CF" w:rsidR="00014A18" w:rsidRPr="00014A18" w:rsidRDefault="00014A18" w:rsidP="00B52619">
            <w:pPr>
              <w:ind w:firstLineChars="0" w:firstLine="0"/>
              <w:jc w:val="center"/>
              <w:rPr>
                <w:sz w:val="24"/>
              </w:rPr>
            </w:pPr>
            <w:r w:rsidRPr="00014A18">
              <w:rPr>
                <w:sz w:val="24"/>
              </w:rPr>
              <w:t>41.84</w:t>
            </w:r>
          </w:p>
        </w:tc>
        <w:tc>
          <w:tcPr>
            <w:tcW w:w="449" w:type="pct"/>
            <w:tcBorders>
              <w:top w:val="single" w:sz="8" w:space="0" w:color="auto"/>
              <w:left w:val="nil"/>
              <w:bottom w:val="single" w:sz="8" w:space="0" w:color="auto"/>
              <w:right w:val="nil"/>
            </w:tcBorders>
            <w:vAlign w:val="center"/>
          </w:tcPr>
          <w:p w14:paraId="3C6D23A0" w14:textId="56A4AD27" w:rsidR="00014A18" w:rsidRPr="00014A18" w:rsidRDefault="00014A18" w:rsidP="00B52619">
            <w:pPr>
              <w:ind w:firstLineChars="0" w:firstLine="0"/>
              <w:jc w:val="center"/>
              <w:rPr>
                <w:sz w:val="24"/>
              </w:rPr>
            </w:pPr>
            <w:r w:rsidRPr="00014A18">
              <w:rPr>
                <w:sz w:val="24"/>
              </w:rPr>
              <w:t>10.94</w:t>
            </w:r>
          </w:p>
        </w:tc>
        <w:tc>
          <w:tcPr>
            <w:tcW w:w="455" w:type="pct"/>
            <w:tcBorders>
              <w:top w:val="single" w:sz="8" w:space="0" w:color="auto"/>
              <w:left w:val="nil"/>
              <w:bottom w:val="single" w:sz="8" w:space="0" w:color="auto"/>
              <w:right w:val="nil"/>
            </w:tcBorders>
            <w:vAlign w:val="center"/>
          </w:tcPr>
          <w:p w14:paraId="41FC9528" w14:textId="06939700" w:rsidR="00014A18" w:rsidRPr="00014A18" w:rsidRDefault="00014A18" w:rsidP="00B52619">
            <w:pPr>
              <w:ind w:firstLineChars="0" w:firstLine="0"/>
              <w:jc w:val="center"/>
              <w:rPr>
                <w:sz w:val="24"/>
              </w:rPr>
            </w:pPr>
            <w:r w:rsidRPr="00014A18">
              <w:rPr>
                <w:sz w:val="24"/>
              </w:rPr>
              <w:t>0.05</w:t>
            </w:r>
          </w:p>
        </w:tc>
        <w:tc>
          <w:tcPr>
            <w:tcW w:w="442" w:type="pct"/>
            <w:tcBorders>
              <w:top w:val="single" w:sz="8" w:space="0" w:color="auto"/>
              <w:left w:val="nil"/>
              <w:bottom w:val="single" w:sz="8" w:space="0" w:color="auto"/>
              <w:right w:val="nil"/>
            </w:tcBorders>
            <w:vAlign w:val="center"/>
          </w:tcPr>
          <w:p w14:paraId="11F2E5D1" w14:textId="4B09BCAC" w:rsidR="00014A18" w:rsidRPr="00014A18" w:rsidRDefault="00B52619" w:rsidP="00B52619">
            <w:pPr>
              <w:ind w:firstLineChars="0" w:firstLine="0"/>
              <w:jc w:val="center"/>
              <w:rPr>
                <w:sz w:val="24"/>
              </w:rPr>
            </w:pPr>
            <w:r>
              <w:rPr>
                <w:rFonts w:hint="eastAsia"/>
                <w:sz w:val="24"/>
              </w:rPr>
              <w:t>40.66</w:t>
            </w:r>
          </w:p>
        </w:tc>
      </w:tr>
      <w:tr w:rsidR="00B52619" w:rsidRPr="00FD55D0" w14:paraId="5072C81A" w14:textId="77777777" w:rsidTr="00B52619">
        <w:trPr>
          <w:trHeight w:val="224"/>
          <w:jc w:val="center"/>
        </w:trPr>
        <w:tc>
          <w:tcPr>
            <w:tcW w:w="546" w:type="pct"/>
            <w:vMerge/>
            <w:tcBorders>
              <w:left w:val="nil"/>
              <w:right w:val="nil"/>
            </w:tcBorders>
            <w:vAlign w:val="center"/>
          </w:tcPr>
          <w:p w14:paraId="34B7837D" w14:textId="77777777" w:rsidR="00B52619" w:rsidRPr="00385AD9" w:rsidRDefault="00B52619" w:rsidP="00B52619">
            <w:pPr>
              <w:ind w:firstLineChars="0" w:firstLine="0"/>
              <w:jc w:val="center"/>
              <w:rPr>
                <w:sz w:val="24"/>
              </w:rPr>
            </w:pPr>
          </w:p>
        </w:tc>
        <w:tc>
          <w:tcPr>
            <w:tcW w:w="418" w:type="pct"/>
            <w:tcBorders>
              <w:top w:val="nil"/>
              <w:left w:val="nil"/>
              <w:bottom w:val="single" w:sz="8" w:space="0" w:color="auto"/>
              <w:right w:val="nil"/>
            </w:tcBorders>
            <w:vAlign w:val="center"/>
          </w:tcPr>
          <w:p w14:paraId="7F3C2A09" w14:textId="7259B63B" w:rsidR="00B52619" w:rsidRPr="00014A18" w:rsidRDefault="00B52619" w:rsidP="00B52619">
            <w:pPr>
              <w:ind w:firstLineChars="0" w:firstLine="0"/>
              <w:jc w:val="center"/>
              <w:rPr>
                <w:sz w:val="24"/>
              </w:rPr>
            </w:pPr>
            <w:r w:rsidRPr="00014A18">
              <w:rPr>
                <w:sz w:val="24"/>
              </w:rPr>
              <w:t>飞灰</w:t>
            </w:r>
          </w:p>
        </w:tc>
        <w:tc>
          <w:tcPr>
            <w:tcW w:w="449" w:type="pct"/>
            <w:tcBorders>
              <w:top w:val="single" w:sz="8" w:space="0" w:color="auto"/>
              <w:left w:val="nil"/>
              <w:bottom w:val="single" w:sz="8" w:space="0" w:color="auto"/>
              <w:right w:val="nil"/>
            </w:tcBorders>
            <w:vAlign w:val="center"/>
          </w:tcPr>
          <w:p w14:paraId="422598BD" w14:textId="3795E88E" w:rsidR="00B52619" w:rsidRPr="00B52619" w:rsidRDefault="00B52619" w:rsidP="00B52619">
            <w:pPr>
              <w:ind w:firstLineChars="0" w:firstLine="0"/>
              <w:jc w:val="center"/>
              <w:rPr>
                <w:sz w:val="24"/>
              </w:rPr>
            </w:pPr>
            <w:r w:rsidRPr="00B52619">
              <w:rPr>
                <w:sz w:val="24"/>
              </w:rPr>
              <w:t>0.3</w:t>
            </w:r>
            <w:r>
              <w:rPr>
                <w:rFonts w:hint="eastAsia"/>
                <w:sz w:val="24"/>
              </w:rPr>
              <w:t>0</w:t>
            </w:r>
          </w:p>
        </w:tc>
        <w:tc>
          <w:tcPr>
            <w:tcW w:w="448" w:type="pct"/>
            <w:tcBorders>
              <w:top w:val="single" w:sz="8" w:space="0" w:color="auto"/>
              <w:left w:val="nil"/>
              <w:bottom w:val="single" w:sz="8" w:space="0" w:color="auto"/>
              <w:right w:val="nil"/>
            </w:tcBorders>
            <w:vAlign w:val="center"/>
          </w:tcPr>
          <w:p w14:paraId="37615776" w14:textId="6D89BA06" w:rsidR="00B52619" w:rsidRPr="00B52619" w:rsidRDefault="00B52619" w:rsidP="00B52619">
            <w:pPr>
              <w:ind w:firstLineChars="0" w:firstLine="0"/>
              <w:jc w:val="center"/>
              <w:rPr>
                <w:sz w:val="24"/>
              </w:rPr>
            </w:pPr>
            <w:r w:rsidRPr="00B52619">
              <w:rPr>
                <w:sz w:val="24"/>
              </w:rPr>
              <w:t>85.48</w:t>
            </w:r>
          </w:p>
        </w:tc>
        <w:tc>
          <w:tcPr>
            <w:tcW w:w="448" w:type="pct"/>
            <w:tcBorders>
              <w:top w:val="single" w:sz="8" w:space="0" w:color="auto"/>
              <w:left w:val="nil"/>
              <w:bottom w:val="single" w:sz="8" w:space="0" w:color="auto"/>
              <w:right w:val="nil"/>
            </w:tcBorders>
            <w:vAlign w:val="center"/>
          </w:tcPr>
          <w:p w14:paraId="2C652AAD" w14:textId="57B27C34" w:rsidR="00B52619" w:rsidRPr="00B52619" w:rsidRDefault="00B52619" w:rsidP="00B52619">
            <w:pPr>
              <w:ind w:firstLineChars="0" w:firstLine="0"/>
              <w:jc w:val="center"/>
              <w:rPr>
                <w:sz w:val="24"/>
              </w:rPr>
            </w:pPr>
            <w:r w:rsidRPr="00B52619">
              <w:rPr>
                <w:sz w:val="24"/>
              </w:rPr>
              <w:t>0.79</w:t>
            </w:r>
          </w:p>
        </w:tc>
        <w:tc>
          <w:tcPr>
            <w:tcW w:w="450" w:type="pct"/>
            <w:tcBorders>
              <w:top w:val="single" w:sz="8" w:space="0" w:color="auto"/>
              <w:left w:val="nil"/>
              <w:bottom w:val="single" w:sz="8" w:space="0" w:color="auto"/>
              <w:right w:val="nil"/>
            </w:tcBorders>
            <w:vAlign w:val="center"/>
          </w:tcPr>
          <w:p w14:paraId="4022FC66" w14:textId="7553B2D3" w:rsidR="00B52619" w:rsidRPr="00B52619" w:rsidRDefault="00B52619" w:rsidP="00B52619">
            <w:pPr>
              <w:ind w:firstLineChars="0" w:firstLine="0"/>
              <w:jc w:val="center"/>
              <w:rPr>
                <w:sz w:val="24"/>
              </w:rPr>
            </w:pPr>
            <w:r w:rsidRPr="00B52619">
              <w:rPr>
                <w:sz w:val="24"/>
              </w:rPr>
              <w:t>13.43</w:t>
            </w:r>
          </w:p>
        </w:tc>
        <w:tc>
          <w:tcPr>
            <w:tcW w:w="446" w:type="pct"/>
            <w:tcBorders>
              <w:top w:val="single" w:sz="8" w:space="0" w:color="auto"/>
              <w:left w:val="nil"/>
              <w:bottom w:val="single" w:sz="8" w:space="0" w:color="auto"/>
              <w:right w:val="nil"/>
            </w:tcBorders>
            <w:vAlign w:val="center"/>
          </w:tcPr>
          <w:p w14:paraId="1939AED2" w14:textId="77868357" w:rsidR="00B52619" w:rsidRPr="00B52619" w:rsidRDefault="00B52619" w:rsidP="00B52619">
            <w:pPr>
              <w:ind w:firstLineChars="0" w:firstLine="0"/>
              <w:jc w:val="center"/>
              <w:rPr>
                <w:sz w:val="24"/>
              </w:rPr>
            </w:pPr>
            <w:r w:rsidRPr="00B52619">
              <w:rPr>
                <w:sz w:val="24"/>
              </w:rPr>
              <w:t>0.04</w:t>
            </w:r>
          </w:p>
        </w:tc>
        <w:tc>
          <w:tcPr>
            <w:tcW w:w="449" w:type="pct"/>
            <w:tcBorders>
              <w:top w:val="single" w:sz="8" w:space="0" w:color="auto"/>
              <w:left w:val="nil"/>
              <w:bottom w:val="single" w:sz="8" w:space="0" w:color="auto"/>
              <w:right w:val="nil"/>
            </w:tcBorders>
            <w:vAlign w:val="center"/>
          </w:tcPr>
          <w:p w14:paraId="54F478FE" w14:textId="0D0768D4" w:rsidR="00B52619" w:rsidRPr="00B52619" w:rsidRDefault="00B52619" w:rsidP="00B52619">
            <w:pPr>
              <w:ind w:firstLineChars="0" w:firstLine="0"/>
              <w:jc w:val="center"/>
              <w:rPr>
                <w:sz w:val="24"/>
              </w:rPr>
            </w:pPr>
            <w:r w:rsidRPr="00B52619">
              <w:rPr>
                <w:sz w:val="24"/>
              </w:rPr>
              <w:t>11.9</w:t>
            </w:r>
            <w:r>
              <w:rPr>
                <w:rFonts w:hint="eastAsia"/>
                <w:sz w:val="24"/>
              </w:rPr>
              <w:t>0</w:t>
            </w:r>
          </w:p>
        </w:tc>
        <w:tc>
          <w:tcPr>
            <w:tcW w:w="449" w:type="pct"/>
            <w:tcBorders>
              <w:top w:val="single" w:sz="8" w:space="0" w:color="auto"/>
              <w:left w:val="nil"/>
              <w:bottom w:val="single" w:sz="8" w:space="0" w:color="auto"/>
              <w:right w:val="nil"/>
            </w:tcBorders>
            <w:vAlign w:val="center"/>
          </w:tcPr>
          <w:p w14:paraId="41D285C9" w14:textId="33DB0780" w:rsidR="00B52619" w:rsidRPr="00B52619" w:rsidRDefault="00B52619" w:rsidP="00B52619">
            <w:pPr>
              <w:ind w:firstLineChars="0" w:firstLine="0"/>
              <w:jc w:val="center"/>
              <w:rPr>
                <w:sz w:val="24"/>
              </w:rPr>
            </w:pPr>
            <w:r w:rsidRPr="00B52619">
              <w:rPr>
                <w:sz w:val="24"/>
              </w:rPr>
              <w:t>0.17</w:t>
            </w:r>
          </w:p>
        </w:tc>
        <w:tc>
          <w:tcPr>
            <w:tcW w:w="455" w:type="pct"/>
            <w:tcBorders>
              <w:top w:val="single" w:sz="8" w:space="0" w:color="auto"/>
              <w:left w:val="nil"/>
              <w:bottom w:val="single" w:sz="8" w:space="0" w:color="auto"/>
              <w:right w:val="nil"/>
            </w:tcBorders>
            <w:vAlign w:val="center"/>
          </w:tcPr>
          <w:p w14:paraId="44633DDF" w14:textId="74BB9057" w:rsidR="00B52619" w:rsidRPr="00B52619" w:rsidRDefault="00B52619" w:rsidP="00B52619">
            <w:pPr>
              <w:ind w:firstLineChars="0" w:firstLine="0"/>
              <w:jc w:val="center"/>
              <w:rPr>
                <w:sz w:val="24"/>
              </w:rPr>
            </w:pPr>
            <w:r w:rsidRPr="00B52619">
              <w:rPr>
                <w:sz w:val="24"/>
              </w:rPr>
              <w:t>0.02</w:t>
            </w:r>
          </w:p>
        </w:tc>
        <w:tc>
          <w:tcPr>
            <w:tcW w:w="442" w:type="pct"/>
            <w:tcBorders>
              <w:top w:val="single" w:sz="8" w:space="0" w:color="auto"/>
              <w:left w:val="nil"/>
              <w:bottom w:val="single" w:sz="8" w:space="0" w:color="auto"/>
              <w:right w:val="nil"/>
            </w:tcBorders>
            <w:vAlign w:val="center"/>
          </w:tcPr>
          <w:p w14:paraId="2E49634A" w14:textId="2F825EE8" w:rsidR="00B52619" w:rsidRPr="00B52619" w:rsidRDefault="00B52619" w:rsidP="00B52619">
            <w:pPr>
              <w:ind w:firstLineChars="0" w:firstLine="0"/>
              <w:jc w:val="center"/>
              <w:rPr>
                <w:sz w:val="24"/>
              </w:rPr>
            </w:pPr>
            <w:r>
              <w:rPr>
                <w:rFonts w:hint="eastAsia"/>
                <w:sz w:val="24"/>
              </w:rPr>
              <w:t>2.13</w:t>
            </w:r>
          </w:p>
        </w:tc>
      </w:tr>
      <w:tr w:rsidR="00B52619" w:rsidRPr="00FD55D0" w14:paraId="025A2E5F" w14:textId="77777777" w:rsidTr="00B52619">
        <w:trPr>
          <w:trHeight w:val="224"/>
          <w:jc w:val="center"/>
        </w:trPr>
        <w:tc>
          <w:tcPr>
            <w:tcW w:w="546" w:type="pct"/>
            <w:vMerge/>
            <w:tcBorders>
              <w:left w:val="nil"/>
              <w:bottom w:val="single" w:sz="8" w:space="0" w:color="auto"/>
              <w:right w:val="nil"/>
            </w:tcBorders>
            <w:vAlign w:val="center"/>
          </w:tcPr>
          <w:p w14:paraId="6ED8C6CA" w14:textId="77777777" w:rsidR="00B52619" w:rsidRPr="00385AD9" w:rsidRDefault="00B52619" w:rsidP="00B52619">
            <w:pPr>
              <w:ind w:firstLineChars="0" w:firstLine="0"/>
              <w:jc w:val="center"/>
              <w:rPr>
                <w:sz w:val="24"/>
              </w:rPr>
            </w:pPr>
          </w:p>
        </w:tc>
        <w:tc>
          <w:tcPr>
            <w:tcW w:w="418" w:type="pct"/>
            <w:tcBorders>
              <w:top w:val="nil"/>
              <w:left w:val="nil"/>
              <w:bottom w:val="single" w:sz="8" w:space="0" w:color="auto"/>
              <w:right w:val="nil"/>
            </w:tcBorders>
            <w:vAlign w:val="center"/>
          </w:tcPr>
          <w:p w14:paraId="0D4F33AA" w14:textId="76B0E633" w:rsidR="00B52619" w:rsidRPr="00014A18" w:rsidRDefault="00B52619" w:rsidP="00B52619">
            <w:pPr>
              <w:ind w:firstLineChars="0" w:firstLine="0"/>
              <w:jc w:val="center"/>
              <w:rPr>
                <w:sz w:val="24"/>
              </w:rPr>
            </w:pPr>
            <w:proofErr w:type="gramStart"/>
            <w:r w:rsidRPr="00014A18">
              <w:rPr>
                <w:sz w:val="24"/>
              </w:rPr>
              <w:t>底渣</w:t>
            </w:r>
            <w:proofErr w:type="gramEnd"/>
          </w:p>
        </w:tc>
        <w:tc>
          <w:tcPr>
            <w:tcW w:w="449" w:type="pct"/>
            <w:tcBorders>
              <w:top w:val="single" w:sz="8" w:space="0" w:color="auto"/>
              <w:left w:val="nil"/>
              <w:bottom w:val="single" w:sz="8" w:space="0" w:color="auto"/>
              <w:right w:val="nil"/>
            </w:tcBorders>
            <w:vAlign w:val="center"/>
          </w:tcPr>
          <w:p w14:paraId="327DB309" w14:textId="5F599D6B" w:rsidR="00B52619" w:rsidRPr="00B52619" w:rsidRDefault="00B52619" w:rsidP="00B52619">
            <w:pPr>
              <w:ind w:firstLineChars="0" w:firstLine="0"/>
              <w:jc w:val="center"/>
              <w:rPr>
                <w:sz w:val="24"/>
              </w:rPr>
            </w:pPr>
            <w:r w:rsidRPr="00B52619">
              <w:rPr>
                <w:sz w:val="24"/>
              </w:rPr>
              <w:t>0.14</w:t>
            </w:r>
          </w:p>
        </w:tc>
        <w:tc>
          <w:tcPr>
            <w:tcW w:w="448" w:type="pct"/>
            <w:tcBorders>
              <w:top w:val="single" w:sz="8" w:space="0" w:color="auto"/>
              <w:left w:val="nil"/>
              <w:bottom w:val="single" w:sz="8" w:space="0" w:color="auto"/>
              <w:right w:val="nil"/>
            </w:tcBorders>
            <w:vAlign w:val="center"/>
          </w:tcPr>
          <w:p w14:paraId="1B4A358A" w14:textId="0BF8F4C8" w:rsidR="00B52619" w:rsidRPr="00B52619" w:rsidRDefault="00B52619" w:rsidP="00B52619">
            <w:pPr>
              <w:ind w:firstLineChars="0" w:firstLine="0"/>
              <w:jc w:val="center"/>
              <w:rPr>
                <w:sz w:val="24"/>
              </w:rPr>
            </w:pPr>
            <w:r w:rsidRPr="00B52619">
              <w:rPr>
                <w:sz w:val="24"/>
              </w:rPr>
              <w:t>87.01</w:t>
            </w:r>
          </w:p>
        </w:tc>
        <w:tc>
          <w:tcPr>
            <w:tcW w:w="448" w:type="pct"/>
            <w:tcBorders>
              <w:top w:val="single" w:sz="8" w:space="0" w:color="auto"/>
              <w:left w:val="nil"/>
              <w:bottom w:val="single" w:sz="8" w:space="0" w:color="auto"/>
              <w:right w:val="nil"/>
            </w:tcBorders>
            <w:vAlign w:val="center"/>
          </w:tcPr>
          <w:p w14:paraId="08F4BDBC" w14:textId="7DEE3C8D" w:rsidR="00B52619" w:rsidRPr="00B52619" w:rsidRDefault="00B52619" w:rsidP="00B52619">
            <w:pPr>
              <w:ind w:firstLineChars="0" w:firstLine="0"/>
              <w:jc w:val="center"/>
              <w:rPr>
                <w:sz w:val="24"/>
              </w:rPr>
            </w:pPr>
            <w:r w:rsidRPr="00B52619">
              <w:rPr>
                <w:sz w:val="24"/>
              </w:rPr>
              <w:t>2</w:t>
            </w:r>
            <w:r>
              <w:rPr>
                <w:rFonts w:hint="eastAsia"/>
                <w:sz w:val="24"/>
              </w:rPr>
              <w:t>.00</w:t>
            </w:r>
          </w:p>
        </w:tc>
        <w:tc>
          <w:tcPr>
            <w:tcW w:w="450" w:type="pct"/>
            <w:tcBorders>
              <w:top w:val="single" w:sz="8" w:space="0" w:color="auto"/>
              <w:left w:val="nil"/>
              <w:bottom w:val="single" w:sz="8" w:space="0" w:color="auto"/>
              <w:right w:val="nil"/>
            </w:tcBorders>
            <w:vAlign w:val="center"/>
          </w:tcPr>
          <w:p w14:paraId="301F9D87" w14:textId="0C5D098C" w:rsidR="00B52619" w:rsidRPr="00B52619" w:rsidRDefault="00B52619" w:rsidP="00B52619">
            <w:pPr>
              <w:ind w:firstLineChars="0" w:firstLine="0"/>
              <w:jc w:val="center"/>
              <w:rPr>
                <w:sz w:val="24"/>
              </w:rPr>
            </w:pPr>
            <w:r w:rsidRPr="00B52619">
              <w:rPr>
                <w:sz w:val="24"/>
              </w:rPr>
              <w:t>10.85</w:t>
            </w:r>
          </w:p>
        </w:tc>
        <w:tc>
          <w:tcPr>
            <w:tcW w:w="446" w:type="pct"/>
            <w:tcBorders>
              <w:top w:val="single" w:sz="8" w:space="0" w:color="auto"/>
              <w:left w:val="nil"/>
              <w:bottom w:val="single" w:sz="8" w:space="0" w:color="auto"/>
              <w:right w:val="nil"/>
            </w:tcBorders>
            <w:vAlign w:val="center"/>
          </w:tcPr>
          <w:p w14:paraId="47EB21C7" w14:textId="24B29DC3" w:rsidR="00B52619" w:rsidRPr="00B52619" w:rsidRDefault="00B52619" w:rsidP="00B52619">
            <w:pPr>
              <w:ind w:firstLineChars="0" w:firstLine="0"/>
              <w:jc w:val="center"/>
              <w:rPr>
                <w:sz w:val="24"/>
              </w:rPr>
            </w:pPr>
            <w:r w:rsidRPr="00B52619">
              <w:rPr>
                <w:rFonts w:eastAsia="等线"/>
                <w:sz w:val="24"/>
              </w:rPr>
              <w:t>0.04</w:t>
            </w:r>
          </w:p>
        </w:tc>
        <w:tc>
          <w:tcPr>
            <w:tcW w:w="449" w:type="pct"/>
            <w:tcBorders>
              <w:top w:val="single" w:sz="8" w:space="0" w:color="auto"/>
              <w:left w:val="nil"/>
              <w:bottom w:val="single" w:sz="8" w:space="0" w:color="auto"/>
              <w:right w:val="nil"/>
            </w:tcBorders>
            <w:vAlign w:val="center"/>
          </w:tcPr>
          <w:p w14:paraId="227BB20D" w14:textId="735AFD7B" w:rsidR="00B52619" w:rsidRPr="00B52619" w:rsidRDefault="00B52619" w:rsidP="00B52619">
            <w:pPr>
              <w:ind w:firstLineChars="0" w:firstLine="0"/>
              <w:jc w:val="center"/>
              <w:rPr>
                <w:sz w:val="24"/>
              </w:rPr>
            </w:pPr>
            <w:r w:rsidRPr="00B52619">
              <w:rPr>
                <w:rFonts w:eastAsia="等线"/>
                <w:sz w:val="24"/>
              </w:rPr>
              <w:t>3.28</w:t>
            </w:r>
          </w:p>
        </w:tc>
        <w:tc>
          <w:tcPr>
            <w:tcW w:w="449" w:type="pct"/>
            <w:tcBorders>
              <w:top w:val="single" w:sz="8" w:space="0" w:color="auto"/>
              <w:left w:val="nil"/>
              <w:bottom w:val="single" w:sz="8" w:space="0" w:color="auto"/>
              <w:right w:val="nil"/>
            </w:tcBorders>
            <w:vAlign w:val="center"/>
          </w:tcPr>
          <w:p w14:paraId="7E6A5FA1" w14:textId="04BB4801" w:rsidR="00B52619" w:rsidRPr="00B52619" w:rsidRDefault="00B52619" w:rsidP="00B52619">
            <w:pPr>
              <w:ind w:firstLineChars="0" w:firstLine="0"/>
              <w:jc w:val="center"/>
              <w:rPr>
                <w:sz w:val="24"/>
              </w:rPr>
            </w:pPr>
            <w:r w:rsidRPr="00B52619">
              <w:rPr>
                <w:rFonts w:eastAsia="等线"/>
                <w:sz w:val="24"/>
              </w:rPr>
              <w:t>0.08</w:t>
            </w:r>
          </w:p>
        </w:tc>
        <w:tc>
          <w:tcPr>
            <w:tcW w:w="455" w:type="pct"/>
            <w:tcBorders>
              <w:top w:val="single" w:sz="8" w:space="0" w:color="auto"/>
              <w:left w:val="nil"/>
              <w:bottom w:val="single" w:sz="8" w:space="0" w:color="auto"/>
              <w:right w:val="nil"/>
            </w:tcBorders>
            <w:vAlign w:val="center"/>
          </w:tcPr>
          <w:p w14:paraId="51E3AB8F" w14:textId="1FC60CA2" w:rsidR="00B52619" w:rsidRPr="00B52619" w:rsidRDefault="00B52619" w:rsidP="00B52619">
            <w:pPr>
              <w:ind w:firstLineChars="0" w:firstLine="0"/>
              <w:jc w:val="center"/>
              <w:rPr>
                <w:sz w:val="24"/>
              </w:rPr>
            </w:pPr>
            <w:r w:rsidRPr="00B52619">
              <w:rPr>
                <w:rFonts w:eastAsia="等线"/>
                <w:sz w:val="24"/>
              </w:rPr>
              <w:t>0.02</w:t>
            </w:r>
          </w:p>
        </w:tc>
        <w:tc>
          <w:tcPr>
            <w:tcW w:w="442" w:type="pct"/>
            <w:tcBorders>
              <w:top w:val="single" w:sz="8" w:space="0" w:color="auto"/>
              <w:left w:val="nil"/>
              <w:bottom w:val="single" w:sz="8" w:space="0" w:color="auto"/>
              <w:right w:val="nil"/>
            </w:tcBorders>
            <w:vAlign w:val="center"/>
          </w:tcPr>
          <w:p w14:paraId="26396165" w14:textId="6C1CE06D" w:rsidR="00B52619" w:rsidRPr="00B52619" w:rsidRDefault="00B52619" w:rsidP="00B52619">
            <w:pPr>
              <w:ind w:firstLineChars="0" w:firstLine="0"/>
              <w:jc w:val="center"/>
              <w:rPr>
                <w:sz w:val="24"/>
              </w:rPr>
            </w:pPr>
            <w:r>
              <w:rPr>
                <w:rFonts w:hint="eastAsia"/>
                <w:sz w:val="24"/>
              </w:rPr>
              <w:t>9.45</w:t>
            </w:r>
          </w:p>
        </w:tc>
      </w:tr>
      <w:tr w:rsidR="00B52619" w:rsidRPr="00FD55D0" w14:paraId="5AB754E3" w14:textId="77777777" w:rsidTr="00B52619">
        <w:trPr>
          <w:trHeight w:val="224"/>
          <w:jc w:val="center"/>
        </w:trPr>
        <w:tc>
          <w:tcPr>
            <w:tcW w:w="546" w:type="pct"/>
            <w:vMerge w:val="restart"/>
            <w:tcBorders>
              <w:top w:val="single" w:sz="8" w:space="0" w:color="auto"/>
              <w:left w:val="nil"/>
              <w:bottom w:val="single" w:sz="12" w:space="0" w:color="auto"/>
              <w:right w:val="nil"/>
            </w:tcBorders>
            <w:vAlign w:val="center"/>
          </w:tcPr>
          <w:p w14:paraId="4FDBB322" w14:textId="77777777" w:rsidR="00B52619" w:rsidRDefault="00B52619" w:rsidP="00B52619">
            <w:pPr>
              <w:ind w:firstLineChars="0" w:firstLine="0"/>
              <w:jc w:val="center"/>
              <w:rPr>
                <w:sz w:val="24"/>
              </w:rPr>
            </w:pPr>
            <w:r>
              <w:rPr>
                <w:rFonts w:hint="eastAsia"/>
                <w:sz w:val="24"/>
              </w:rPr>
              <w:t>企业</w:t>
            </w:r>
            <w:r>
              <w:rPr>
                <w:rFonts w:hint="eastAsia"/>
                <w:sz w:val="24"/>
              </w:rPr>
              <w:t>4</w:t>
            </w:r>
          </w:p>
          <w:p w14:paraId="3A73F884" w14:textId="77777777" w:rsidR="00B52619" w:rsidRDefault="00B52619" w:rsidP="00B52619">
            <w:pPr>
              <w:ind w:firstLineChars="0" w:firstLine="0"/>
              <w:jc w:val="center"/>
              <w:rPr>
                <w:sz w:val="24"/>
              </w:rPr>
            </w:pPr>
            <w:r>
              <w:rPr>
                <w:rFonts w:hint="eastAsia"/>
                <w:sz w:val="24"/>
              </w:rPr>
              <w:t>10t/h</w:t>
            </w:r>
          </w:p>
          <w:p w14:paraId="1BB362D2" w14:textId="0E11BFA4" w:rsidR="00B52619" w:rsidRPr="00385AD9" w:rsidRDefault="00B52619" w:rsidP="00B52619">
            <w:pPr>
              <w:ind w:firstLineChars="0" w:firstLine="0"/>
              <w:jc w:val="center"/>
              <w:rPr>
                <w:sz w:val="24"/>
              </w:rPr>
            </w:pPr>
            <w:r>
              <w:rPr>
                <w:rFonts w:hint="eastAsia"/>
                <w:sz w:val="24"/>
              </w:rPr>
              <w:t>层燃炉</w:t>
            </w:r>
          </w:p>
        </w:tc>
        <w:tc>
          <w:tcPr>
            <w:tcW w:w="418" w:type="pct"/>
            <w:tcBorders>
              <w:top w:val="single" w:sz="8" w:space="0" w:color="auto"/>
              <w:left w:val="nil"/>
              <w:bottom w:val="single" w:sz="8" w:space="0" w:color="auto"/>
              <w:right w:val="nil"/>
            </w:tcBorders>
            <w:vAlign w:val="center"/>
          </w:tcPr>
          <w:p w14:paraId="4BE2C1A5" w14:textId="737592F0" w:rsidR="00B52619" w:rsidRPr="00014A18" w:rsidRDefault="00B52619" w:rsidP="00B52619">
            <w:pPr>
              <w:ind w:firstLineChars="0" w:firstLine="0"/>
              <w:jc w:val="center"/>
              <w:rPr>
                <w:sz w:val="24"/>
              </w:rPr>
            </w:pPr>
            <w:r w:rsidRPr="00FD55D0">
              <w:rPr>
                <w:sz w:val="24"/>
              </w:rPr>
              <w:t>燃料</w:t>
            </w:r>
          </w:p>
        </w:tc>
        <w:tc>
          <w:tcPr>
            <w:tcW w:w="449" w:type="pct"/>
            <w:tcBorders>
              <w:top w:val="single" w:sz="8" w:space="0" w:color="auto"/>
              <w:left w:val="nil"/>
              <w:bottom w:val="single" w:sz="8" w:space="0" w:color="auto"/>
              <w:right w:val="nil"/>
            </w:tcBorders>
            <w:vAlign w:val="center"/>
          </w:tcPr>
          <w:p w14:paraId="552BA8FD" w14:textId="5ECEED8D" w:rsidR="00B52619" w:rsidRPr="00B52619" w:rsidRDefault="00B52619" w:rsidP="00B52619">
            <w:pPr>
              <w:ind w:firstLineChars="0" w:firstLine="0"/>
              <w:jc w:val="center"/>
              <w:rPr>
                <w:sz w:val="24"/>
              </w:rPr>
            </w:pPr>
            <w:r w:rsidRPr="00B52619">
              <w:rPr>
                <w:rFonts w:hint="eastAsia"/>
                <w:sz w:val="24"/>
              </w:rPr>
              <w:t>42.99</w:t>
            </w:r>
          </w:p>
        </w:tc>
        <w:tc>
          <w:tcPr>
            <w:tcW w:w="448" w:type="pct"/>
            <w:tcBorders>
              <w:top w:val="single" w:sz="8" w:space="0" w:color="auto"/>
              <w:left w:val="nil"/>
              <w:bottom w:val="single" w:sz="8" w:space="0" w:color="auto"/>
              <w:right w:val="nil"/>
            </w:tcBorders>
            <w:vAlign w:val="center"/>
          </w:tcPr>
          <w:p w14:paraId="06FEC7C8" w14:textId="6503B25D" w:rsidR="00B52619" w:rsidRPr="00B52619" w:rsidRDefault="00B52619" w:rsidP="00B52619">
            <w:pPr>
              <w:ind w:firstLineChars="0" w:firstLine="0"/>
              <w:jc w:val="center"/>
              <w:rPr>
                <w:sz w:val="24"/>
              </w:rPr>
            </w:pPr>
            <w:r w:rsidRPr="00B52619">
              <w:rPr>
                <w:rFonts w:hint="eastAsia"/>
                <w:sz w:val="24"/>
              </w:rPr>
              <w:t>1.75</w:t>
            </w:r>
          </w:p>
        </w:tc>
        <w:tc>
          <w:tcPr>
            <w:tcW w:w="448" w:type="pct"/>
            <w:tcBorders>
              <w:top w:val="single" w:sz="8" w:space="0" w:color="auto"/>
              <w:left w:val="nil"/>
              <w:bottom w:val="single" w:sz="8" w:space="0" w:color="auto"/>
              <w:right w:val="nil"/>
            </w:tcBorders>
            <w:vAlign w:val="center"/>
          </w:tcPr>
          <w:p w14:paraId="7742FD46" w14:textId="48487BDC" w:rsidR="00B52619" w:rsidRPr="00B52619" w:rsidRDefault="00B52619" w:rsidP="00B52619">
            <w:pPr>
              <w:ind w:firstLineChars="0" w:firstLine="0"/>
              <w:jc w:val="center"/>
              <w:rPr>
                <w:sz w:val="24"/>
              </w:rPr>
            </w:pPr>
            <w:r w:rsidRPr="00B52619">
              <w:rPr>
                <w:rFonts w:eastAsia="等线"/>
                <w:sz w:val="24"/>
              </w:rPr>
              <w:t>41.02</w:t>
            </w:r>
          </w:p>
        </w:tc>
        <w:tc>
          <w:tcPr>
            <w:tcW w:w="450" w:type="pct"/>
            <w:tcBorders>
              <w:top w:val="single" w:sz="8" w:space="0" w:color="auto"/>
              <w:left w:val="nil"/>
              <w:bottom w:val="single" w:sz="8" w:space="0" w:color="auto"/>
              <w:right w:val="nil"/>
            </w:tcBorders>
            <w:vAlign w:val="center"/>
          </w:tcPr>
          <w:p w14:paraId="5FFB5A6B" w14:textId="1FC48256" w:rsidR="00B52619" w:rsidRPr="00B52619" w:rsidRDefault="00B52619" w:rsidP="00B52619">
            <w:pPr>
              <w:ind w:firstLineChars="0" w:firstLine="0"/>
              <w:jc w:val="center"/>
              <w:rPr>
                <w:sz w:val="24"/>
              </w:rPr>
            </w:pPr>
            <w:r w:rsidRPr="00B52619">
              <w:rPr>
                <w:rFonts w:eastAsia="等线"/>
                <w:sz w:val="24"/>
              </w:rPr>
              <w:t>14.24</w:t>
            </w:r>
          </w:p>
        </w:tc>
        <w:tc>
          <w:tcPr>
            <w:tcW w:w="446" w:type="pct"/>
            <w:tcBorders>
              <w:top w:val="single" w:sz="8" w:space="0" w:color="auto"/>
              <w:left w:val="nil"/>
              <w:bottom w:val="single" w:sz="8" w:space="0" w:color="auto"/>
              <w:right w:val="nil"/>
            </w:tcBorders>
            <w:vAlign w:val="center"/>
          </w:tcPr>
          <w:p w14:paraId="48C89B9A" w14:textId="5D8CF189" w:rsidR="00B52619" w:rsidRPr="00B52619" w:rsidRDefault="00B52619" w:rsidP="00B52619">
            <w:pPr>
              <w:ind w:firstLineChars="0" w:firstLine="0"/>
              <w:jc w:val="center"/>
              <w:rPr>
                <w:sz w:val="24"/>
              </w:rPr>
            </w:pPr>
            <w:r w:rsidRPr="00B52619">
              <w:rPr>
                <w:rFonts w:eastAsia="等线"/>
                <w:sz w:val="24"/>
              </w:rPr>
              <w:t>0.69</w:t>
            </w:r>
          </w:p>
        </w:tc>
        <w:tc>
          <w:tcPr>
            <w:tcW w:w="449" w:type="pct"/>
            <w:tcBorders>
              <w:top w:val="single" w:sz="8" w:space="0" w:color="auto"/>
              <w:left w:val="nil"/>
              <w:bottom w:val="single" w:sz="8" w:space="0" w:color="auto"/>
              <w:right w:val="nil"/>
            </w:tcBorders>
            <w:vAlign w:val="center"/>
          </w:tcPr>
          <w:p w14:paraId="53064FE4" w14:textId="031AF25C" w:rsidR="00B52619" w:rsidRPr="00B52619" w:rsidRDefault="00B52619" w:rsidP="00B52619">
            <w:pPr>
              <w:ind w:firstLineChars="0" w:firstLine="0"/>
              <w:jc w:val="center"/>
              <w:rPr>
                <w:sz w:val="24"/>
              </w:rPr>
            </w:pPr>
            <w:r w:rsidRPr="00B52619">
              <w:rPr>
                <w:rFonts w:eastAsia="等线"/>
                <w:sz w:val="24"/>
              </w:rPr>
              <w:t>51.71</w:t>
            </w:r>
          </w:p>
        </w:tc>
        <w:tc>
          <w:tcPr>
            <w:tcW w:w="449" w:type="pct"/>
            <w:tcBorders>
              <w:top w:val="single" w:sz="8" w:space="0" w:color="auto"/>
              <w:left w:val="nil"/>
              <w:bottom w:val="single" w:sz="8" w:space="0" w:color="auto"/>
              <w:right w:val="nil"/>
            </w:tcBorders>
            <w:vAlign w:val="center"/>
          </w:tcPr>
          <w:p w14:paraId="3433BBB7" w14:textId="3BD061E1" w:rsidR="00B52619" w:rsidRPr="00B52619" w:rsidRDefault="00B52619" w:rsidP="00B52619">
            <w:pPr>
              <w:ind w:firstLineChars="0" w:firstLine="0"/>
              <w:jc w:val="center"/>
              <w:rPr>
                <w:sz w:val="24"/>
              </w:rPr>
            </w:pPr>
            <w:r w:rsidRPr="00B52619">
              <w:rPr>
                <w:rFonts w:eastAsia="等线"/>
                <w:sz w:val="24"/>
              </w:rPr>
              <w:t>6.19</w:t>
            </w:r>
          </w:p>
        </w:tc>
        <w:tc>
          <w:tcPr>
            <w:tcW w:w="455" w:type="pct"/>
            <w:tcBorders>
              <w:top w:val="single" w:sz="8" w:space="0" w:color="auto"/>
              <w:left w:val="nil"/>
              <w:bottom w:val="single" w:sz="8" w:space="0" w:color="auto"/>
              <w:right w:val="nil"/>
            </w:tcBorders>
            <w:vAlign w:val="center"/>
          </w:tcPr>
          <w:p w14:paraId="3FB525CF" w14:textId="4447BFE5" w:rsidR="00B52619" w:rsidRPr="00B52619" w:rsidRDefault="00B52619" w:rsidP="00B52619">
            <w:pPr>
              <w:ind w:firstLineChars="0" w:firstLine="0"/>
              <w:jc w:val="center"/>
              <w:rPr>
                <w:sz w:val="24"/>
              </w:rPr>
            </w:pPr>
            <w:r w:rsidRPr="00B52619">
              <w:rPr>
                <w:rFonts w:eastAsia="等线"/>
                <w:sz w:val="24"/>
              </w:rPr>
              <w:t>0</w:t>
            </w:r>
          </w:p>
        </w:tc>
        <w:tc>
          <w:tcPr>
            <w:tcW w:w="442" w:type="pct"/>
            <w:tcBorders>
              <w:top w:val="single" w:sz="8" w:space="0" w:color="auto"/>
              <w:left w:val="nil"/>
              <w:bottom w:val="single" w:sz="8" w:space="0" w:color="auto"/>
              <w:right w:val="nil"/>
            </w:tcBorders>
            <w:vAlign w:val="center"/>
          </w:tcPr>
          <w:p w14:paraId="2378573C" w14:textId="50B9F0A4" w:rsidR="00B52619" w:rsidRPr="00B52619" w:rsidRDefault="00B52619" w:rsidP="00B52619">
            <w:pPr>
              <w:ind w:firstLineChars="0" w:firstLine="0"/>
              <w:jc w:val="center"/>
              <w:rPr>
                <w:sz w:val="24"/>
              </w:rPr>
            </w:pPr>
            <w:r w:rsidRPr="00B52619">
              <w:rPr>
                <w:rFonts w:hint="eastAsia"/>
                <w:sz w:val="24"/>
              </w:rPr>
              <w:t>38.34</w:t>
            </w:r>
          </w:p>
        </w:tc>
      </w:tr>
      <w:tr w:rsidR="00B52619" w:rsidRPr="00FD55D0" w14:paraId="666B5C9B" w14:textId="77777777" w:rsidTr="00B52619">
        <w:trPr>
          <w:trHeight w:val="224"/>
          <w:jc w:val="center"/>
        </w:trPr>
        <w:tc>
          <w:tcPr>
            <w:tcW w:w="546" w:type="pct"/>
            <w:vMerge/>
            <w:tcBorders>
              <w:top w:val="single" w:sz="4" w:space="0" w:color="auto"/>
              <w:left w:val="nil"/>
              <w:bottom w:val="single" w:sz="12" w:space="0" w:color="auto"/>
              <w:right w:val="nil"/>
            </w:tcBorders>
            <w:vAlign w:val="center"/>
          </w:tcPr>
          <w:p w14:paraId="6FC1B43E" w14:textId="77777777" w:rsidR="00B52619" w:rsidRPr="00385AD9" w:rsidRDefault="00B52619" w:rsidP="00B52619">
            <w:pPr>
              <w:ind w:firstLineChars="0" w:firstLine="0"/>
              <w:jc w:val="center"/>
              <w:rPr>
                <w:sz w:val="24"/>
              </w:rPr>
            </w:pPr>
          </w:p>
        </w:tc>
        <w:tc>
          <w:tcPr>
            <w:tcW w:w="418" w:type="pct"/>
            <w:tcBorders>
              <w:top w:val="single" w:sz="8" w:space="0" w:color="auto"/>
              <w:left w:val="nil"/>
              <w:bottom w:val="single" w:sz="8" w:space="0" w:color="auto"/>
              <w:right w:val="nil"/>
            </w:tcBorders>
            <w:vAlign w:val="center"/>
          </w:tcPr>
          <w:p w14:paraId="752CA5BB" w14:textId="0093018B" w:rsidR="00B52619" w:rsidRPr="00014A18" w:rsidRDefault="00B52619" w:rsidP="00B52619">
            <w:pPr>
              <w:ind w:firstLineChars="0" w:firstLine="0"/>
              <w:jc w:val="center"/>
              <w:rPr>
                <w:sz w:val="24"/>
              </w:rPr>
            </w:pPr>
            <w:r w:rsidRPr="00014A18">
              <w:rPr>
                <w:sz w:val="24"/>
              </w:rPr>
              <w:t>飞灰</w:t>
            </w:r>
          </w:p>
        </w:tc>
        <w:tc>
          <w:tcPr>
            <w:tcW w:w="449" w:type="pct"/>
            <w:tcBorders>
              <w:top w:val="single" w:sz="8" w:space="0" w:color="auto"/>
              <w:left w:val="nil"/>
              <w:bottom w:val="single" w:sz="8" w:space="0" w:color="auto"/>
              <w:right w:val="nil"/>
            </w:tcBorders>
            <w:vAlign w:val="center"/>
          </w:tcPr>
          <w:p w14:paraId="4CDEF6D6" w14:textId="4FBE2765" w:rsidR="00B52619" w:rsidRPr="00B52619" w:rsidRDefault="00B52619" w:rsidP="00B52619">
            <w:pPr>
              <w:ind w:firstLineChars="0" w:firstLine="0"/>
              <w:jc w:val="center"/>
              <w:rPr>
                <w:sz w:val="24"/>
              </w:rPr>
            </w:pPr>
            <w:r w:rsidRPr="00B52619">
              <w:rPr>
                <w:rFonts w:eastAsia="等线"/>
                <w:sz w:val="24"/>
              </w:rPr>
              <w:t>0.65</w:t>
            </w:r>
          </w:p>
        </w:tc>
        <w:tc>
          <w:tcPr>
            <w:tcW w:w="448" w:type="pct"/>
            <w:tcBorders>
              <w:top w:val="single" w:sz="8" w:space="0" w:color="auto"/>
              <w:left w:val="nil"/>
              <w:bottom w:val="single" w:sz="8" w:space="0" w:color="auto"/>
              <w:right w:val="nil"/>
            </w:tcBorders>
            <w:vAlign w:val="center"/>
          </w:tcPr>
          <w:p w14:paraId="20B04BFB" w14:textId="4CFA30BF" w:rsidR="00B52619" w:rsidRPr="00B52619" w:rsidRDefault="00B52619" w:rsidP="00B52619">
            <w:pPr>
              <w:ind w:firstLineChars="0" w:firstLine="0"/>
              <w:jc w:val="center"/>
              <w:rPr>
                <w:sz w:val="24"/>
              </w:rPr>
            </w:pPr>
            <w:r w:rsidRPr="00B52619">
              <w:rPr>
                <w:rFonts w:eastAsia="等线"/>
                <w:sz w:val="24"/>
              </w:rPr>
              <w:t>90.11</w:t>
            </w:r>
          </w:p>
        </w:tc>
        <w:tc>
          <w:tcPr>
            <w:tcW w:w="448" w:type="pct"/>
            <w:tcBorders>
              <w:top w:val="single" w:sz="8" w:space="0" w:color="auto"/>
              <w:left w:val="nil"/>
              <w:bottom w:val="single" w:sz="8" w:space="0" w:color="auto"/>
              <w:right w:val="nil"/>
            </w:tcBorders>
            <w:vAlign w:val="center"/>
          </w:tcPr>
          <w:p w14:paraId="265FA6AA" w14:textId="058C9368" w:rsidR="00B52619" w:rsidRPr="00B52619" w:rsidRDefault="00B52619" w:rsidP="00B52619">
            <w:pPr>
              <w:ind w:firstLineChars="0" w:firstLine="0"/>
              <w:jc w:val="center"/>
              <w:rPr>
                <w:sz w:val="24"/>
              </w:rPr>
            </w:pPr>
            <w:r w:rsidRPr="00B52619">
              <w:rPr>
                <w:rFonts w:eastAsia="等线"/>
                <w:sz w:val="24"/>
              </w:rPr>
              <w:t>0.</w:t>
            </w:r>
            <w:r w:rsidRPr="00B52619">
              <w:rPr>
                <w:rFonts w:eastAsia="等线" w:hint="eastAsia"/>
                <w:sz w:val="24"/>
              </w:rPr>
              <w:t>92</w:t>
            </w:r>
          </w:p>
        </w:tc>
        <w:tc>
          <w:tcPr>
            <w:tcW w:w="450" w:type="pct"/>
            <w:tcBorders>
              <w:top w:val="single" w:sz="8" w:space="0" w:color="auto"/>
              <w:left w:val="nil"/>
              <w:bottom w:val="single" w:sz="8" w:space="0" w:color="auto"/>
              <w:right w:val="nil"/>
            </w:tcBorders>
            <w:vAlign w:val="center"/>
          </w:tcPr>
          <w:p w14:paraId="3E89905D" w14:textId="53A2CA2A" w:rsidR="00B52619" w:rsidRPr="00B52619" w:rsidRDefault="00B52619" w:rsidP="00B52619">
            <w:pPr>
              <w:ind w:firstLineChars="0" w:firstLine="0"/>
              <w:jc w:val="center"/>
              <w:rPr>
                <w:sz w:val="24"/>
              </w:rPr>
            </w:pPr>
            <w:r w:rsidRPr="00B52619">
              <w:rPr>
                <w:rFonts w:eastAsia="等线"/>
                <w:sz w:val="24"/>
              </w:rPr>
              <w:t>8.</w:t>
            </w:r>
            <w:r w:rsidRPr="00B52619">
              <w:rPr>
                <w:rFonts w:eastAsia="等线" w:hint="eastAsia"/>
                <w:sz w:val="24"/>
              </w:rPr>
              <w:t>32</w:t>
            </w:r>
          </w:p>
        </w:tc>
        <w:tc>
          <w:tcPr>
            <w:tcW w:w="446" w:type="pct"/>
            <w:tcBorders>
              <w:top w:val="single" w:sz="8" w:space="0" w:color="auto"/>
              <w:left w:val="nil"/>
              <w:bottom w:val="single" w:sz="8" w:space="0" w:color="auto"/>
              <w:right w:val="nil"/>
            </w:tcBorders>
            <w:vAlign w:val="center"/>
          </w:tcPr>
          <w:p w14:paraId="3E741A00" w14:textId="54B709B1" w:rsidR="00B52619" w:rsidRPr="00B52619" w:rsidRDefault="00B52619" w:rsidP="00B52619">
            <w:pPr>
              <w:ind w:firstLineChars="0" w:firstLine="0"/>
              <w:jc w:val="center"/>
              <w:rPr>
                <w:sz w:val="24"/>
              </w:rPr>
            </w:pPr>
            <w:r w:rsidRPr="00B52619">
              <w:rPr>
                <w:rFonts w:eastAsia="等线"/>
                <w:sz w:val="24"/>
              </w:rPr>
              <w:t>0.11</w:t>
            </w:r>
          </w:p>
        </w:tc>
        <w:tc>
          <w:tcPr>
            <w:tcW w:w="449" w:type="pct"/>
            <w:tcBorders>
              <w:top w:val="single" w:sz="8" w:space="0" w:color="auto"/>
              <w:left w:val="nil"/>
              <w:bottom w:val="single" w:sz="8" w:space="0" w:color="auto"/>
              <w:right w:val="nil"/>
            </w:tcBorders>
            <w:vAlign w:val="center"/>
          </w:tcPr>
          <w:p w14:paraId="07164027" w14:textId="0CFBBA6C" w:rsidR="00B52619" w:rsidRPr="00B52619" w:rsidRDefault="00B52619" w:rsidP="00B52619">
            <w:pPr>
              <w:ind w:firstLineChars="0" w:firstLine="0"/>
              <w:jc w:val="center"/>
              <w:rPr>
                <w:sz w:val="24"/>
              </w:rPr>
            </w:pPr>
            <w:r w:rsidRPr="00B52619">
              <w:rPr>
                <w:rFonts w:eastAsia="等线"/>
                <w:sz w:val="24"/>
              </w:rPr>
              <w:t>6.91</w:t>
            </w:r>
          </w:p>
        </w:tc>
        <w:tc>
          <w:tcPr>
            <w:tcW w:w="449" w:type="pct"/>
            <w:tcBorders>
              <w:top w:val="single" w:sz="8" w:space="0" w:color="auto"/>
              <w:left w:val="nil"/>
              <w:bottom w:val="single" w:sz="8" w:space="0" w:color="auto"/>
              <w:right w:val="nil"/>
            </w:tcBorders>
            <w:vAlign w:val="center"/>
          </w:tcPr>
          <w:p w14:paraId="7BA7DCF3" w14:textId="302B8306" w:rsidR="00B52619" w:rsidRPr="00B52619" w:rsidRDefault="00B52619" w:rsidP="00B52619">
            <w:pPr>
              <w:ind w:firstLineChars="0" w:firstLine="0"/>
              <w:jc w:val="center"/>
              <w:rPr>
                <w:sz w:val="24"/>
              </w:rPr>
            </w:pPr>
            <w:r w:rsidRPr="00B52619">
              <w:rPr>
                <w:rFonts w:eastAsia="等线"/>
                <w:sz w:val="24"/>
              </w:rPr>
              <w:t>0.44</w:t>
            </w:r>
          </w:p>
        </w:tc>
        <w:tc>
          <w:tcPr>
            <w:tcW w:w="455" w:type="pct"/>
            <w:tcBorders>
              <w:top w:val="single" w:sz="8" w:space="0" w:color="auto"/>
              <w:left w:val="nil"/>
              <w:bottom w:val="single" w:sz="8" w:space="0" w:color="auto"/>
              <w:right w:val="nil"/>
            </w:tcBorders>
            <w:vAlign w:val="center"/>
          </w:tcPr>
          <w:p w14:paraId="71D44CBC" w14:textId="104E4317" w:rsidR="00B52619" w:rsidRPr="00B52619" w:rsidRDefault="00B52619" w:rsidP="00B52619">
            <w:pPr>
              <w:ind w:firstLineChars="0" w:firstLine="0"/>
              <w:jc w:val="center"/>
              <w:rPr>
                <w:sz w:val="24"/>
              </w:rPr>
            </w:pPr>
            <w:r w:rsidRPr="00B52619">
              <w:rPr>
                <w:rFonts w:eastAsia="等线"/>
                <w:sz w:val="24"/>
              </w:rPr>
              <w:t>0</w:t>
            </w:r>
          </w:p>
        </w:tc>
        <w:tc>
          <w:tcPr>
            <w:tcW w:w="442" w:type="pct"/>
            <w:tcBorders>
              <w:top w:val="single" w:sz="8" w:space="0" w:color="auto"/>
              <w:left w:val="nil"/>
              <w:bottom w:val="single" w:sz="8" w:space="0" w:color="auto"/>
              <w:right w:val="nil"/>
            </w:tcBorders>
            <w:vAlign w:val="center"/>
          </w:tcPr>
          <w:p w14:paraId="7890CF3D" w14:textId="77597327" w:rsidR="00B52619" w:rsidRPr="00B52619" w:rsidRDefault="00B52619" w:rsidP="00B52619">
            <w:pPr>
              <w:ind w:firstLineChars="0" w:firstLine="0"/>
              <w:jc w:val="center"/>
              <w:rPr>
                <w:sz w:val="24"/>
              </w:rPr>
            </w:pPr>
            <w:r w:rsidRPr="00B52619">
              <w:rPr>
                <w:sz w:val="24"/>
              </w:rPr>
              <w:t>1.84</w:t>
            </w:r>
          </w:p>
        </w:tc>
      </w:tr>
      <w:tr w:rsidR="00B52619" w:rsidRPr="00FD55D0" w14:paraId="5E599E13" w14:textId="77777777" w:rsidTr="00B52619">
        <w:trPr>
          <w:trHeight w:val="224"/>
          <w:jc w:val="center"/>
        </w:trPr>
        <w:tc>
          <w:tcPr>
            <w:tcW w:w="546" w:type="pct"/>
            <w:vMerge/>
            <w:tcBorders>
              <w:top w:val="single" w:sz="4" w:space="0" w:color="auto"/>
              <w:left w:val="nil"/>
              <w:bottom w:val="single" w:sz="12" w:space="0" w:color="auto"/>
              <w:right w:val="nil"/>
            </w:tcBorders>
            <w:vAlign w:val="center"/>
          </w:tcPr>
          <w:p w14:paraId="7BE607A3" w14:textId="77777777" w:rsidR="00B52619" w:rsidRPr="00385AD9" w:rsidRDefault="00B52619" w:rsidP="00B52619">
            <w:pPr>
              <w:ind w:firstLineChars="0" w:firstLine="0"/>
              <w:jc w:val="center"/>
              <w:rPr>
                <w:sz w:val="24"/>
              </w:rPr>
            </w:pPr>
          </w:p>
        </w:tc>
        <w:tc>
          <w:tcPr>
            <w:tcW w:w="418" w:type="pct"/>
            <w:tcBorders>
              <w:top w:val="single" w:sz="8" w:space="0" w:color="auto"/>
              <w:left w:val="nil"/>
              <w:bottom w:val="single" w:sz="12" w:space="0" w:color="auto"/>
              <w:right w:val="nil"/>
            </w:tcBorders>
            <w:vAlign w:val="center"/>
          </w:tcPr>
          <w:p w14:paraId="42BFFEA3" w14:textId="22AEEAD1" w:rsidR="00B52619" w:rsidRPr="00014A18" w:rsidRDefault="00B52619" w:rsidP="00B52619">
            <w:pPr>
              <w:ind w:firstLineChars="0" w:firstLine="0"/>
              <w:jc w:val="center"/>
              <w:rPr>
                <w:sz w:val="24"/>
              </w:rPr>
            </w:pPr>
            <w:proofErr w:type="gramStart"/>
            <w:r w:rsidRPr="00014A18">
              <w:rPr>
                <w:sz w:val="24"/>
              </w:rPr>
              <w:t>底渣</w:t>
            </w:r>
            <w:proofErr w:type="gramEnd"/>
          </w:p>
        </w:tc>
        <w:tc>
          <w:tcPr>
            <w:tcW w:w="449" w:type="pct"/>
            <w:tcBorders>
              <w:top w:val="single" w:sz="8" w:space="0" w:color="auto"/>
              <w:left w:val="nil"/>
              <w:bottom w:val="single" w:sz="12" w:space="0" w:color="auto"/>
              <w:right w:val="nil"/>
            </w:tcBorders>
            <w:vAlign w:val="center"/>
          </w:tcPr>
          <w:p w14:paraId="5A9887F5" w14:textId="70EAEF85" w:rsidR="00B52619" w:rsidRPr="00B52619" w:rsidRDefault="00B52619" w:rsidP="00B52619">
            <w:pPr>
              <w:ind w:firstLineChars="0" w:firstLine="0"/>
              <w:jc w:val="center"/>
              <w:rPr>
                <w:sz w:val="24"/>
              </w:rPr>
            </w:pPr>
            <w:r w:rsidRPr="00B52619">
              <w:rPr>
                <w:rFonts w:eastAsia="等线"/>
                <w:sz w:val="24"/>
              </w:rPr>
              <w:t>1.82</w:t>
            </w:r>
          </w:p>
        </w:tc>
        <w:tc>
          <w:tcPr>
            <w:tcW w:w="448" w:type="pct"/>
            <w:tcBorders>
              <w:top w:val="single" w:sz="8" w:space="0" w:color="auto"/>
              <w:left w:val="nil"/>
              <w:bottom w:val="single" w:sz="12" w:space="0" w:color="auto"/>
              <w:right w:val="nil"/>
            </w:tcBorders>
            <w:vAlign w:val="center"/>
          </w:tcPr>
          <w:p w14:paraId="28A4AC8E" w14:textId="7FF3BC92" w:rsidR="00B52619" w:rsidRPr="00B52619" w:rsidRDefault="00B52619" w:rsidP="00B52619">
            <w:pPr>
              <w:ind w:firstLineChars="0" w:firstLine="0"/>
              <w:jc w:val="center"/>
              <w:rPr>
                <w:sz w:val="24"/>
              </w:rPr>
            </w:pPr>
            <w:r w:rsidRPr="00B52619">
              <w:rPr>
                <w:rFonts w:eastAsia="等线"/>
                <w:sz w:val="24"/>
              </w:rPr>
              <w:t>94.58</w:t>
            </w:r>
          </w:p>
        </w:tc>
        <w:tc>
          <w:tcPr>
            <w:tcW w:w="448" w:type="pct"/>
            <w:tcBorders>
              <w:top w:val="single" w:sz="8" w:space="0" w:color="auto"/>
              <w:left w:val="nil"/>
              <w:bottom w:val="single" w:sz="12" w:space="0" w:color="auto"/>
              <w:right w:val="nil"/>
            </w:tcBorders>
            <w:vAlign w:val="center"/>
          </w:tcPr>
          <w:p w14:paraId="507C824D" w14:textId="44962599" w:rsidR="00B52619" w:rsidRPr="00B52619" w:rsidRDefault="00B52619" w:rsidP="00B52619">
            <w:pPr>
              <w:ind w:firstLineChars="0" w:firstLine="0"/>
              <w:jc w:val="center"/>
              <w:rPr>
                <w:sz w:val="24"/>
              </w:rPr>
            </w:pPr>
            <w:r w:rsidRPr="00B52619">
              <w:rPr>
                <w:rFonts w:eastAsia="等线"/>
                <w:sz w:val="24"/>
              </w:rPr>
              <w:t>2.79</w:t>
            </w:r>
          </w:p>
        </w:tc>
        <w:tc>
          <w:tcPr>
            <w:tcW w:w="450" w:type="pct"/>
            <w:tcBorders>
              <w:top w:val="single" w:sz="8" w:space="0" w:color="auto"/>
              <w:left w:val="nil"/>
              <w:bottom w:val="single" w:sz="12" w:space="0" w:color="auto"/>
              <w:right w:val="nil"/>
            </w:tcBorders>
            <w:vAlign w:val="center"/>
          </w:tcPr>
          <w:p w14:paraId="539F9F16" w14:textId="4F2D4276" w:rsidR="00B52619" w:rsidRPr="00B52619" w:rsidRDefault="00B52619" w:rsidP="00B52619">
            <w:pPr>
              <w:ind w:firstLineChars="0" w:firstLine="0"/>
              <w:jc w:val="center"/>
              <w:rPr>
                <w:sz w:val="24"/>
              </w:rPr>
            </w:pPr>
            <w:r w:rsidRPr="00B52619">
              <w:rPr>
                <w:rFonts w:eastAsia="等线"/>
                <w:sz w:val="24"/>
              </w:rPr>
              <w:t>0.81</w:t>
            </w:r>
          </w:p>
        </w:tc>
        <w:tc>
          <w:tcPr>
            <w:tcW w:w="446" w:type="pct"/>
            <w:tcBorders>
              <w:top w:val="single" w:sz="8" w:space="0" w:color="auto"/>
              <w:left w:val="nil"/>
              <w:bottom w:val="single" w:sz="12" w:space="0" w:color="000000"/>
              <w:right w:val="nil"/>
            </w:tcBorders>
            <w:vAlign w:val="center"/>
          </w:tcPr>
          <w:p w14:paraId="2DA6E40A" w14:textId="24E7318C" w:rsidR="00B52619" w:rsidRPr="00B52619" w:rsidRDefault="00B52619" w:rsidP="00B52619">
            <w:pPr>
              <w:ind w:firstLineChars="0" w:firstLine="0"/>
              <w:jc w:val="center"/>
              <w:rPr>
                <w:sz w:val="24"/>
              </w:rPr>
            </w:pPr>
            <w:r w:rsidRPr="00B52619">
              <w:rPr>
                <w:rFonts w:eastAsia="等线"/>
                <w:sz w:val="24"/>
              </w:rPr>
              <w:t>0.36</w:t>
            </w:r>
          </w:p>
        </w:tc>
        <w:tc>
          <w:tcPr>
            <w:tcW w:w="449" w:type="pct"/>
            <w:tcBorders>
              <w:top w:val="single" w:sz="8" w:space="0" w:color="auto"/>
              <w:left w:val="nil"/>
              <w:bottom w:val="single" w:sz="12" w:space="0" w:color="000000"/>
              <w:right w:val="nil"/>
            </w:tcBorders>
            <w:vAlign w:val="center"/>
          </w:tcPr>
          <w:p w14:paraId="76870D53" w14:textId="54649AE1" w:rsidR="00B52619" w:rsidRPr="00B52619" w:rsidRDefault="00B52619" w:rsidP="00B52619">
            <w:pPr>
              <w:ind w:firstLineChars="0" w:firstLine="0"/>
              <w:jc w:val="center"/>
              <w:rPr>
                <w:sz w:val="24"/>
              </w:rPr>
            </w:pPr>
            <w:r w:rsidRPr="00B52619">
              <w:rPr>
                <w:rFonts w:eastAsia="等线"/>
                <w:sz w:val="24"/>
              </w:rPr>
              <w:t>2.07</w:t>
            </w:r>
          </w:p>
        </w:tc>
        <w:tc>
          <w:tcPr>
            <w:tcW w:w="449" w:type="pct"/>
            <w:tcBorders>
              <w:top w:val="single" w:sz="8" w:space="0" w:color="auto"/>
              <w:left w:val="nil"/>
              <w:bottom w:val="single" w:sz="12" w:space="0" w:color="000000"/>
              <w:right w:val="nil"/>
            </w:tcBorders>
            <w:vAlign w:val="center"/>
          </w:tcPr>
          <w:p w14:paraId="3617241C" w14:textId="32968D78" w:rsidR="00B52619" w:rsidRPr="00B52619" w:rsidRDefault="00B52619" w:rsidP="00B52619">
            <w:pPr>
              <w:ind w:firstLineChars="0" w:firstLine="0"/>
              <w:jc w:val="center"/>
              <w:rPr>
                <w:sz w:val="24"/>
              </w:rPr>
            </w:pPr>
            <w:r w:rsidRPr="00B52619">
              <w:rPr>
                <w:rFonts w:eastAsia="等线"/>
                <w:sz w:val="24"/>
              </w:rPr>
              <w:t>0.17</w:t>
            </w:r>
          </w:p>
        </w:tc>
        <w:tc>
          <w:tcPr>
            <w:tcW w:w="455" w:type="pct"/>
            <w:tcBorders>
              <w:top w:val="single" w:sz="8" w:space="0" w:color="auto"/>
              <w:left w:val="nil"/>
              <w:bottom w:val="single" w:sz="12" w:space="0" w:color="000000"/>
              <w:right w:val="nil"/>
            </w:tcBorders>
            <w:vAlign w:val="center"/>
          </w:tcPr>
          <w:p w14:paraId="30D122DC" w14:textId="54BE055E" w:rsidR="00B52619" w:rsidRPr="00B52619" w:rsidRDefault="00B52619" w:rsidP="00B52619">
            <w:pPr>
              <w:ind w:firstLineChars="0" w:firstLine="0"/>
              <w:jc w:val="center"/>
              <w:rPr>
                <w:sz w:val="24"/>
              </w:rPr>
            </w:pPr>
            <w:r w:rsidRPr="00B52619">
              <w:rPr>
                <w:rFonts w:eastAsia="等线"/>
                <w:sz w:val="24"/>
              </w:rPr>
              <w:t>0</w:t>
            </w:r>
          </w:p>
        </w:tc>
        <w:tc>
          <w:tcPr>
            <w:tcW w:w="442" w:type="pct"/>
            <w:tcBorders>
              <w:top w:val="single" w:sz="8" w:space="0" w:color="auto"/>
              <w:left w:val="nil"/>
              <w:bottom w:val="single" w:sz="12" w:space="0" w:color="auto"/>
              <w:right w:val="nil"/>
            </w:tcBorders>
            <w:vAlign w:val="center"/>
          </w:tcPr>
          <w:p w14:paraId="62331FD8" w14:textId="778B4CF8" w:rsidR="00B52619" w:rsidRPr="00B52619" w:rsidRDefault="00B52619" w:rsidP="00B52619">
            <w:pPr>
              <w:ind w:firstLineChars="0" w:firstLine="0"/>
              <w:jc w:val="center"/>
              <w:rPr>
                <w:sz w:val="24"/>
              </w:rPr>
            </w:pPr>
            <w:r w:rsidRPr="00B52619">
              <w:rPr>
                <w:sz w:val="24"/>
              </w:rPr>
              <w:t>1.07</w:t>
            </w:r>
          </w:p>
        </w:tc>
      </w:tr>
    </w:tbl>
    <w:p w14:paraId="74360FBA" w14:textId="27EB8AF0" w:rsidR="00445F8C" w:rsidRDefault="00084192" w:rsidP="00084192">
      <w:pPr>
        <w:autoSpaceDE w:val="0"/>
        <w:autoSpaceDN w:val="0"/>
        <w:adjustRightInd w:val="0"/>
        <w:spacing w:line="540" w:lineRule="exact"/>
        <w:ind w:firstLine="640"/>
        <w:jc w:val="left"/>
        <w:rPr>
          <w:szCs w:val="32"/>
          <w:lang w:val="zh-CN"/>
        </w:rPr>
      </w:pPr>
      <w:r>
        <w:rPr>
          <w:szCs w:val="32"/>
          <w:lang w:val="zh-CN"/>
        </w:rPr>
        <w:t>在燃烧工况控制方面，过量空气系数作为反映燃烧组织合理性的关键参数，结合《生物质锅炉技术规范》（</w:t>
      </w:r>
      <w:r>
        <w:rPr>
          <w:szCs w:val="32"/>
          <w:lang w:val="zh-CN"/>
        </w:rPr>
        <w:t>GB/T 44906-2024</w:t>
      </w:r>
      <w:r>
        <w:rPr>
          <w:szCs w:val="32"/>
          <w:lang w:val="zh-CN"/>
        </w:rPr>
        <w:t>）、《锅炉运行规程》（</w:t>
      </w:r>
      <w:r>
        <w:rPr>
          <w:szCs w:val="32"/>
          <w:lang w:val="zh-CN"/>
        </w:rPr>
        <w:t>DL/T 748-2017</w:t>
      </w:r>
      <w:r>
        <w:rPr>
          <w:szCs w:val="32"/>
          <w:lang w:val="zh-CN"/>
        </w:rPr>
        <w:t>）和工程运行经验，依据清洁燃烧先进性准则，按过量空气控制水平设置分级基准值：</w:t>
      </w:r>
      <w:r>
        <w:rPr>
          <w:rFonts w:ascii="宋体" w:eastAsia="宋体" w:hAnsi="宋体" w:cs="宋体" w:hint="eastAsia"/>
          <w:szCs w:val="32"/>
          <w:lang w:val="zh-CN"/>
        </w:rPr>
        <w:t>Ⅰ</w:t>
      </w:r>
      <w:r>
        <w:rPr>
          <w:szCs w:val="32"/>
          <w:lang w:val="zh-CN"/>
        </w:rPr>
        <w:t>级为</w:t>
      </w:r>
      <w:r>
        <w:rPr>
          <w:szCs w:val="32"/>
          <w:lang w:val="zh-CN"/>
        </w:rPr>
        <w:t xml:space="preserve"> 1.05≤</w:t>
      </w:r>
      <w:r>
        <w:rPr>
          <w:szCs w:val="32"/>
          <w:lang w:val="zh-CN"/>
        </w:rPr>
        <w:t>过量空气系数</w:t>
      </w:r>
      <w:r>
        <w:rPr>
          <w:szCs w:val="32"/>
          <w:lang w:val="zh-CN"/>
        </w:rPr>
        <w:t>≤1.20</w:t>
      </w:r>
      <w:r>
        <w:rPr>
          <w:szCs w:val="32"/>
          <w:lang w:val="zh-CN"/>
        </w:rPr>
        <w:t>，</w:t>
      </w:r>
      <w:r>
        <w:rPr>
          <w:rFonts w:ascii="宋体" w:eastAsia="宋体" w:hAnsi="宋体" w:cs="宋体" w:hint="eastAsia"/>
          <w:szCs w:val="32"/>
          <w:lang w:val="zh-CN"/>
        </w:rPr>
        <w:t>Ⅱ</w:t>
      </w:r>
      <w:r>
        <w:rPr>
          <w:szCs w:val="32"/>
          <w:lang w:val="zh-CN"/>
        </w:rPr>
        <w:t>级为</w:t>
      </w:r>
      <w:r>
        <w:rPr>
          <w:szCs w:val="32"/>
          <w:lang w:val="zh-CN"/>
        </w:rPr>
        <w:t>1.20</w:t>
      </w:r>
      <w:r w:rsidR="003B1916">
        <w:rPr>
          <w:rFonts w:eastAsiaTheme="majorEastAsia" w:hint="eastAsia"/>
          <w:szCs w:val="32"/>
          <w:lang w:val="zh-CN"/>
        </w:rPr>
        <w:t>&lt;</w:t>
      </w:r>
      <w:r>
        <w:rPr>
          <w:szCs w:val="32"/>
          <w:lang w:val="zh-CN"/>
        </w:rPr>
        <w:t>过量空气系数</w:t>
      </w:r>
      <w:r>
        <w:rPr>
          <w:szCs w:val="32"/>
          <w:lang w:val="zh-CN"/>
        </w:rPr>
        <w:t>≤1.30</w:t>
      </w:r>
      <w:r>
        <w:rPr>
          <w:szCs w:val="32"/>
          <w:lang w:val="zh-CN"/>
        </w:rPr>
        <w:t>，</w:t>
      </w:r>
      <w:r>
        <w:rPr>
          <w:rFonts w:ascii="宋体" w:eastAsia="宋体" w:hAnsi="宋体" w:cs="宋体" w:hint="eastAsia"/>
          <w:szCs w:val="32"/>
          <w:lang w:val="zh-CN"/>
        </w:rPr>
        <w:t>Ⅲ</w:t>
      </w:r>
      <w:r>
        <w:rPr>
          <w:szCs w:val="32"/>
          <w:lang w:val="zh-CN"/>
        </w:rPr>
        <w:t>级为</w:t>
      </w:r>
      <w:r>
        <w:rPr>
          <w:szCs w:val="32"/>
          <w:lang w:val="zh-CN"/>
        </w:rPr>
        <w:t>1.30</w:t>
      </w:r>
      <w:r w:rsidR="003B1916">
        <w:rPr>
          <w:rFonts w:hint="eastAsia"/>
          <w:szCs w:val="32"/>
          <w:lang w:val="zh-CN"/>
        </w:rPr>
        <w:t>&lt;</w:t>
      </w:r>
      <w:r>
        <w:rPr>
          <w:szCs w:val="32"/>
          <w:lang w:val="zh-CN"/>
        </w:rPr>
        <w:t>过量空气系数</w:t>
      </w:r>
      <w:r>
        <w:rPr>
          <w:szCs w:val="32"/>
          <w:lang w:val="zh-CN"/>
        </w:rPr>
        <w:t>≤1.40</w:t>
      </w:r>
      <w:r>
        <w:rPr>
          <w:szCs w:val="32"/>
          <w:lang w:val="zh-CN"/>
        </w:rPr>
        <w:t>。上述分级设置用于引导锅炉运行由单纯满足燃尽要求，逐步向降低过剩空气量、优化燃烧组织并提升系统能效与清洁燃烧水平转变。</w:t>
      </w:r>
    </w:p>
    <w:p w14:paraId="2E3DB51C" w14:textId="77777777" w:rsidR="00635259" w:rsidRDefault="00635259" w:rsidP="00084192">
      <w:pPr>
        <w:autoSpaceDE w:val="0"/>
        <w:autoSpaceDN w:val="0"/>
        <w:adjustRightInd w:val="0"/>
        <w:spacing w:line="540" w:lineRule="exact"/>
        <w:ind w:firstLine="640"/>
        <w:rPr>
          <w:szCs w:val="32"/>
        </w:rPr>
      </w:pPr>
      <w:r w:rsidRPr="00635259">
        <w:rPr>
          <w:szCs w:val="32"/>
        </w:rPr>
        <w:t>在锅炉运行工况评价中，锅炉年可用小时数作为衡量锅炉实际运行时间的重要指标，依据《工业锅炉能效限定值及能效等级》（</w:t>
      </w:r>
      <w:r w:rsidRPr="00635259">
        <w:rPr>
          <w:szCs w:val="32"/>
        </w:rPr>
        <w:t>GB 24500-2020</w:t>
      </w:r>
      <w:r w:rsidRPr="00635259">
        <w:rPr>
          <w:szCs w:val="32"/>
        </w:rPr>
        <w:t>）设定基准值。锅炉年可用小时数的基准值为</w:t>
      </w:r>
      <w:r w:rsidRPr="00635259">
        <w:rPr>
          <w:szCs w:val="32"/>
        </w:rPr>
        <w:t>≥7200</w:t>
      </w:r>
      <w:r w:rsidRPr="00635259">
        <w:rPr>
          <w:szCs w:val="32"/>
        </w:rPr>
        <w:t>小时，以确保锅炉具备良好的可靠性和较长的有效运行时间，符合国标要求。</w:t>
      </w:r>
    </w:p>
    <w:p w14:paraId="1A5B951B" w14:textId="0227D6F1" w:rsidR="00635259" w:rsidRDefault="00635259" w:rsidP="00084192">
      <w:pPr>
        <w:autoSpaceDE w:val="0"/>
        <w:autoSpaceDN w:val="0"/>
        <w:adjustRightInd w:val="0"/>
        <w:spacing w:line="540" w:lineRule="exact"/>
        <w:ind w:firstLine="640"/>
        <w:rPr>
          <w:szCs w:val="32"/>
        </w:rPr>
      </w:pPr>
      <w:r w:rsidRPr="00635259">
        <w:rPr>
          <w:szCs w:val="32"/>
        </w:rPr>
        <w:lastRenderedPageBreak/>
        <w:t>在</w:t>
      </w:r>
      <w:r w:rsidRPr="00635259">
        <w:rPr>
          <w:szCs w:val="32"/>
        </w:rPr>
        <w:t>NO</w:t>
      </w:r>
      <w:r w:rsidRPr="00635259">
        <w:rPr>
          <w:i/>
          <w:iCs/>
          <w:szCs w:val="32"/>
          <w:vertAlign w:val="subscript"/>
        </w:rPr>
        <w:t>x</w:t>
      </w:r>
      <w:r w:rsidR="003B1916">
        <w:rPr>
          <w:rFonts w:hint="eastAsia"/>
          <w:szCs w:val="32"/>
        </w:rPr>
        <w:t>初始</w:t>
      </w:r>
      <w:r w:rsidRPr="00635259">
        <w:rPr>
          <w:szCs w:val="32"/>
        </w:rPr>
        <w:t>排放方面，</w:t>
      </w:r>
      <w:r w:rsidRPr="00635259">
        <w:rPr>
          <w:szCs w:val="32"/>
        </w:rPr>
        <w:t>NO</w:t>
      </w:r>
      <w:r w:rsidRPr="00635259">
        <w:rPr>
          <w:i/>
          <w:iCs/>
          <w:szCs w:val="32"/>
          <w:vertAlign w:val="subscript"/>
        </w:rPr>
        <w:t>x</w:t>
      </w:r>
      <w:r w:rsidRPr="00635259">
        <w:rPr>
          <w:szCs w:val="32"/>
        </w:rPr>
        <w:t>初始排放浓度作为反映</w:t>
      </w:r>
      <w:proofErr w:type="gramStart"/>
      <w:r w:rsidRPr="00635259">
        <w:rPr>
          <w:szCs w:val="32"/>
        </w:rPr>
        <w:t>锅炉低氮燃烧</w:t>
      </w:r>
      <w:proofErr w:type="gramEnd"/>
      <w:r w:rsidRPr="00635259">
        <w:rPr>
          <w:szCs w:val="32"/>
        </w:rPr>
        <w:t>技术</w:t>
      </w:r>
      <w:r w:rsidR="007C5F60">
        <w:rPr>
          <w:rFonts w:hint="eastAsia"/>
          <w:szCs w:val="32"/>
        </w:rPr>
        <w:t>水平</w:t>
      </w:r>
      <w:r w:rsidRPr="00635259">
        <w:rPr>
          <w:szCs w:val="32"/>
        </w:rPr>
        <w:t>的重要指标</w:t>
      </w:r>
      <w:r>
        <w:rPr>
          <w:rFonts w:hint="eastAsia"/>
          <w:szCs w:val="32"/>
        </w:rPr>
        <w:t>，</w:t>
      </w:r>
      <w:r w:rsidRPr="00635259">
        <w:rPr>
          <w:szCs w:val="32"/>
        </w:rPr>
        <w:t>依据《生物质锅炉技术规范》（</w:t>
      </w:r>
      <w:r w:rsidRPr="00635259">
        <w:rPr>
          <w:szCs w:val="32"/>
        </w:rPr>
        <w:t>GB/T 44906-2024</w:t>
      </w:r>
      <w:r w:rsidRPr="00635259">
        <w:rPr>
          <w:szCs w:val="32"/>
        </w:rPr>
        <w:t>）和《生物质锅炉质量性能评价技术准则》（</w:t>
      </w:r>
      <w:r w:rsidRPr="00635259">
        <w:rPr>
          <w:szCs w:val="32"/>
        </w:rPr>
        <w:t>GB/T 44907-2024</w:t>
      </w:r>
      <w:r w:rsidRPr="00635259">
        <w:rPr>
          <w:szCs w:val="32"/>
        </w:rPr>
        <w:t>）设定基准值。</w:t>
      </w:r>
      <w:r w:rsidR="00443BED" w:rsidRPr="00443BED">
        <w:rPr>
          <w:szCs w:val="32"/>
        </w:rPr>
        <w:t>结合广西壮族自治区对生物质锅炉使用燃料氮含量的调研结果</w:t>
      </w:r>
      <w:r w:rsidR="00443BED">
        <w:rPr>
          <w:rFonts w:hint="eastAsia"/>
          <w:szCs w:val="32"/>
        </w:rPr>
        <w:t>，针对不同锅炉类型，</w:t>
      </w:r>
      <w:r w:rsidR="00443BED" w:rsidRPr="00443BED">
        <w:rPr>
          <w:szCs w:val="32"/>
        </w:rPr>
        <w:t>NO</w:t>
      </w:r>
      <w:r w:rsidR="00443BED" w:rsidRPr="00443BED">
        <w:rPr>
          <w:i/>
          <w:iCs/>
          <w:szCs w:val="32"/>
          <w:vertAlign w:val="subscript"/>
        </w:rPr>
        <w:t>x</w:t>
      </w:r>
      <w:r w:rsidR="00443BED" w:rsidRPr="00443BED">
        <w:rPr>
          <w:szCs w:val="32"/>
        </w:rPr>
        <w:t>初始排放</w:t>
      </w:r>
      <w:r w:rsidR="00443BED">
        <w:rPr>
          <w:rFonts w:hint="eastAsia"/>
          <w:szCs w:val="32"/>
        </w:rPr>
        <w:t>浓度的基准值</w:t>
      </w:r>
      <w:proofErr w:type="gramStart"/>
      <w:r w:rsidR="00443BED">
        <w:rPr>
          <w:rFonts w:hint="eastAsia"/>
          <w:szCs w:val="32"/>
        </w:rPr>
        <w:t>按排放水平</w:t>
      </w:r>
      <w:proofErr w:type="gramEnd"/>
      <w:r w:rsidR="00443BED">
        <w:rPr>
          <w:rFonts w:hint="eastAsia"/>
          <w:szCs w:val="32"/>
        </w:rPr>
        <w:t>进行分级设置。</w:t>
      </w:r>
      <w:r w:rsidRPr="00635259">
        <w:rPr>
          <w:szCs w:val="32"/>
        </w:rPr>
        <w:t>对于层燃锅炉，</w:t>
      </w:r>
      <w:r w:rsidRPr="00635259">
        <w:rPr>
          <w:szCs w:val="32"/>
        </w:rPr>
        <w:t>NO</w:t>
      </w:r>
      <w:r w:rsidRPr="00635259">
        <w:rPr>
          <w:i/>
          <w:iCs/>
          <w:szCs w:val="32"/>
          <w:vertAlign w:val="subscript"/>
        </w:rPr>
        <w:t>x</w:t>
      </w:r>
      <w:r w:rsidRPr="00635259">
        <w:rPr>
          <w:szCs w:val="32"/>
        </w:rPr>
        <w:t>初始排放浓度的基准值按锅炉的排放水平分级设置，其中</w:t>
      </w:r>
      <w:r w:rsidRPr="00635259">
        <w:rPr>
          <w:rFonts w:asciiTheme="majorEastAsia" w:eastAsiaTheme="majorEastAsia" w:hAnsiTheme="majorEastAsia"/>
          <w:szCs w:val="32"/>
        </w:rPr>
        <w:t>Ⅲ</w:t>
      </w:r>
      <w:r w:rsidRPr="00635259">
        <w:rPr>
          <w:szCs w:val="32"/>
        </w:rPr>
        <w:t>级基准值为</w:t>
      </w:r>
      <w:r w:rsidRPr="00635259">
        <w:rPr>
          <w:szCs w:val="32"/>
        </w:rPr>
        <w:t>≤400 mg/m</w:t>
      </w:r>
      <w:r w:rsidR="00443BED" w:rsidRPr="00443BED">
        <w:rPr>
          <w:rFonts w:hint="eastAsia"/>
          <w:szCs w:val="32"/>
          <w:vertAlign w:val="superscript"/>
        </w:rPr>
        <w:t>3</w:t>
      </w:r>
      <w:r w:rsidRPr="00635259">
        <w:rPr>
          <w:szCs w:val="32"/>
        </w:rPr>
        <w:t>，</w:t>
      </w:r>
      <w:r w:rsidRPr="00635259">
        <w:rPr>
          <w:rFonts w:asciiTheme="minorEastAsia" w:eastAsiaTheme="minorEastAsia" w:hAnsiTheme="minorEastAsia"/>
          <w:szCs w:val="32"/>
        </w:rPr>
        <w:t>Ⅱ</w:t>
      </w:r>
      <w:r w:rsidRPr="00635259">
        <w:rPr>
          <w:szCs w:val="32"/>
        </w:rPr>
        <w:t>级基准值为</w:t>
      </w:r>
      <w:r w:rsidRPr="00635259">
        <w:rPr>
          <w:szCs w:val="32"/>
        </w:rPr>
        <w:t>≤350 mg/m</w:t>
      </w:r>
      <w:r w:rsidR="00443BED" w:rsidRPr="00443BED">
        <w:rPr>
          <w:rFonts w:hint="eastAsia"/>
          <w:szCs w:val="32"/>
          <w:vertAlign w:val="superscript"/>
        </w:rPr>
        <w:t>3</w:t>
      </w:r>
      <w:r w:rsidRPr="00635259">
        <w:rPr>
          <w:szCs w:val="32"/>
        </w:rPr>
        <w:t>，</w:t>
      </w:r>
      <w:r w:rsidRPr="00635259">
        <w:rPr>
          <w:rFonts w:asciiTheme="majorEastAsia" w:eastAsiaTheme="majorEastAsia" w:hAnsiTheme="majorEastAsia"/>
          <w:szCs w:val="32"/>
        </w:rPr>
        <w:t>Ⅰ</w:t>
      </w:r>
      <w:r w:rsidRPr="00635259">
        <w:rPr>
          <w:szCs w:val="32"/>
        </w:rPr>
        <w:t>级基准值为</w:t>
      </w:r>
      <w:r w:rsidRPr="00635259">
        <w:rPr>
          <w:szCs w:val="32"/>
        </w:rPr>
        <w:t>≤250 mg/m</w:t>
      </w:r>
      <w:r w:rsidR="00443BED" w:rsidRPr="00443BED">
        <w:rPr>
          <w:rFonts w:hint="eastAsia"/>
          <w:szCs w:val="32"/>
          <w:vertAlign w:val="superscript"/>
        </w:rPr>
        <w:t>3</w:t>
      </w:r>
      <w:r w:rsidRPr="00635259">
        <w:rPr>
          <w:szCs w:val="32"/>
        </w:rPr>
        <w:t>。对于流</w:t>
      </w:r>
      <w:r w:rsidR="00443BED">
        <w:rPr>
          <w:rFonts w:hint="eastAsia"/>
          <w:szCs w:val="32"/>
        </w:rPr>
        <w:t>和</w:t>
      </w:r>
      <w:r w:rsidRPr="00635259">
        <w:rPr>
          <w:szCs w:val="32"/>
        </w:rPr>
        <w:t>化床锅炉</w:t>
      </w:r>
      <w:proofErr w:type="gramStart"/>
      <w:r w:rsidRPr="00635259">
        <w:rPr>
          <w:szCs w:val="32"/>
        </w:rPr>
        <w:t>和室燃锅炉</w:t>
      </w:r>
      <w:proofErr w:type="gramEnd"/>
      <w:r w:rsidRPr="00635259">
        <w:rPr>
          <w:szCs w:val="32"/>
        </w:rPr>
        <w:t>，</w:t>
      </w:r>
      <w:r w:rsidRPr="00635259">
        <w:rPr>
          <w:szCs w:val="32"/>
        </w:rPr>
        <w:t>NO</w:t>
      </w:r>
      <w:r w:rsidRPr="00635259">
        <w:rPr>
          <w:i/>
          <w:iCs/>
          <w:szCs w:val="32"/>
          <w:vertAlign w:val="subscript"/>
        </w:rPr>
        <w:t>x</w:t>
      </w:r>
      <w:r w:rsidRPr="00635259">
        <w:rPr>
          <w:szCs w:val="32"/>
        </w:rPr>
        <w:t>初始排放浓度的基准值分别设置为</w:t>
      </w:r>
      <w:r w:rsidRPr="00635259">
        <w:rPr>
          <w:szCs w:val="32"/>
        </w:rPr>
        <w:t>≤200 mg/m</w:t>
      </w:r>
      <w:r w:rsidR="00443BED" w:rsidRPr="00443BED">
        <w:rPr>
          <w:rFonts w:hint="eastAsia"/>
          <w:szCs w:val="32"/>
          <w:vertAlign w:val="superscript"/>
        </w:rPr>
        <w:t>3</w:t>
      </w:r>
      <w:r w:rsidRPr="00635259">
        <w:rPr>
          <w:szCs w:val="32"/>
        </w:rPr>
        <w:t>、</w:t>
      </w:r>
      <w:r w:rsidRPr="00635259">
        <w:rPr>
          <w:szCs w:val="32"/>
        </w:rPr>
        <w:t>≤150 mg/m</w:t>
      </w:r>
      <w:r w:rsidR="00443BED" w:rsidRPr="00443BED">
        <w:rPr>
          <w:rFonts w:hint="eastAsia"/>
          <w:szCs w:val="32"/>
          <w:vertAlign w:val="superscript"/>
        </w:rPr>
        <w:t>3</w:t>
      </w:r>
      <w:r w:rsidRPr="00635259">
        <w:rPr>
          <w:szCs w:val="32"/>
        </w:rPr>
        <w:t>和</w:t>
      </w:r>
      <w:r w:rsidRPr="00635259">
        <w:rPr>
          <w:szCs w:val="32"/>
        </w:rPr>
        <w:t>≤120 mg/m</w:t>
      </w:r>
      <w:r w:rsidR="00443BED" w:rsidRPr="00443BED">
        <w:rPr>
          <w:rFonts w:hint="eastAsia"/>
          <w:szCs w:val="32"/>
          <w:vertAlign w:val="superscript"/>
        </w:rPr>
        <w:t>3</w:t>
      </w:r>
      <w:r w:rsidR="00443BED">
        <w:rPr>
          <w:rFonts w:hint="eastAsia"/>
          <w:szCs w:val="32"/>
        </w:rPr>
        <w:t>。</w:t>
      </w:r>
      <w:r w:rsidR="00443BED" w:rsidRPr="00443BED">
        <w:rPr>
          <w:szCs w:val="32"/>
        </w:rPr>
        <w:t>这些基准值旨在反映不同炉型的燃烧特性及污染物排放水平，并为后续脱硝装备的配置提供依据，</w:t>
      </w:r>
      <w:proofErr w:type="gramStart"/>
      <w:r w:rsidR="00443BED" w:rsidRPr="00443BED">
        <w:rPr>
          <w:szCs w:val="32"/>
        </w:rPr>
        <w:t>助力低氮</w:t>
      </w:r>
      <w:proofErr w:type="gramEnd"/>
      <w:r w:rsidR="00443BED" w:rsidRPr="00443BED">
        <w:rPr>
          <w:szCs w:val="32"/>
        </w:rPr>
        <w:t>燃烧技术的应用与有效排放控制。</w:t>
      </w:r>
    </w:p>
    <w:p w14:paraId="2248C758" w14:textId="531DFBE1" w:rsidR="00443BED" w:rsidRDefault="00443BED" w:rsidP="00084192">
      <w:pPr>
        <w:autoSpaceDE w:val="0"/>
        <w:autoSpaceDN w:val="0"/>
        <w:adjustRightInd w:val="0"/>
        <w:spacing w:line="540" w:lineRule="exact"/>
        <w:ind w:firstLine="640"/>
        <w:rPr>
          <w:szCs w:val="32"/>
        </w:rPr>
      </w:pPr>
      <w:r w:rsidRPr="00443BED">
        <w:rPr>
          <w:szCs w:val="32"/>
        </w:rPr>
        <w:t>在烟尘</w:t>
      </w:r>
      <w:r>
        <w:rPr>
          <w:rFonts w:hint="eastAsia"/>
          <w:szCs w:val="32"/>
        </w:rPr>
        <w:t>初始</w:t>
      </w:r>
      <w:r w:rsidRPr="00443BED">
        <w:rPr>
          <w:szCs w:val="32"/>
        </w:rPr>
        <w:t>排放控制方面，烟尘初始排放浓度作为反映锅炉燃烧效率和污染物控制水平的重要指标，依据《生物质锅炉质量性能评价技术准则》（</w:t>
      </w:r>
      <w:r w:rsidRPr="00443BED">
        <w:rPr>
          <w:szCs w:val="32"/>
        </w:rPr>
        <w:t>GB/T 44907-2024</w:t>
      </w:r>
      <w:r w:rsidRPr="00443BED">
        <w:rPr>
          <w:szCs w:val="32"/>
        </w:rPr>
        <w:t>）设定基准值。结合广西壮族自治区对生物质锅炉</w:t>
      </w:r>
      <w:proofErr w:type="gramStart"/>
      <w:r>
        <w:rPr>
          <w:rFonts w:hint="eastAsia"/>
          <w:szCs w:val="32"/>
        </w:rPr>
        <w:t>现场实采</w:t>
      </w:r>
      <w:r w:rsidRPr="00443BED">
        <w:rPr>
          <w:szCs w:val="32"/>
        </w:rPr>
        <w:t>结果</w:t>
      </w:r>
      <w:proofErr w:type="gramEnd"/>
      <w:r w:rsidRPr="00443BED">
        <w:rPr>
          <w:szCs w:val="32"/>
        </w:rPr>
        <w:t>，针对不同锅炉类型，烟尘初始排放浓度的基准值</w:t>
      </w:r>
      <w:proofErr w:type="gramStart"/>
      <w:r w:rsidRPr="00443BED">
        <w:rPr>
          <w:szCs w:val="32"/>
        </w:rPr>
        <w:t>按排放水平</w:t>
      </w:r>
      <w:proofErr w:type="gramEnd"/>
      <w:r w:rsidRPr="00443BED">
        <w:rPr>
          <w:szCs w:val="32"/>
        </w:rPr>
        <w:t>进行分级设置：对于层燃锅炉，烟尘初始排放浓度的基准值按锅炉的排放水平分级设置，其中</w:t>
      </w:r>
      <w:r w:rsidRPr="00443BED">
        <w:rPr>
          <w:szCs w:val="32"/>
        </w:rPr>
        <w:t>Ⅲ</w:t>
      </w:r>
      <w:r w:rsidRPr="00443BED">
        <w:rPr>
          <w:szCs w:val="32"/>
        </w:rPr>
        <w:t>级基准值为</w:t>
      </w:r>
      <w:r w:rsidRPr="00443BED">
        <w:rPr>
          <w:szCs w:val="32"/>
        </w:rPr>
        <w:t>≤</w:t>
      </w:r>
      <w:r>
        <w:rPr>
          <w:rFonts w:hint="eastAsia"/>
          <w:szCs w:val="32"/>
        </w:rPr>
        <w:t>2000</w:t>
      </w:r>
      <w:r w:rsidRPr="00443BED">
        <w:rPr>
          <w:szCs w:val="32"/>
        </w:rPr>
        <w:t xml:space="preserve"> mg/m</w:t>
      </w:r>
      <w:r w:rsidRPr="00443BED">
        <w:rPr>
          <w:rFonts w:hint="eastAsia"/>
          <w:szCs w:val="32"/>
          <w:vertAlign w:val="superscript"/>
        </w:rPr>
        <w:t>3</w:t>
      </w:r>
      <w:r w:rsidRPr="00443BED">
        <w:rPr>
          <w:szCs w:val="32"/>
        </w:rPr>
        <w:t>，</w:t>
      </w:r>
      <w:r w:rsidRPr="00443BED">
        <w:rPr>
          <w:szCs w:val="32"/>
        </w:rPr>
        <w:t>Ⅱ</w:t>
      </w:r>
      <w:r w:rsidRPr="00443BED">
        <w:rPr>
          <w:szCs w:val="32"/>
        </w:rPr>
        <w:t>级基准值为</w:t>
      </w:r>
      <w:r w:rsidRPr="00443BED">
        <w:rPr>
          <w:szCs w:val="32"/>
        </w:rPr>
        <w:t>≤</w:t>
      </w:r>
      <w:r>
        <w:rPr>
          <w:rFonts w:hint="eastAsia"/>
          <w:szCs w:val="32"/>
        </w:rPr>
        <w:t>1</w:t>
      </w:r>
      <w:r w:rsidRPr="00443BED">
        <w:rPr>
          <w:szCs w:val="32"/>
        </w:rPr>
        <w:t>5</w:t>
      </w:r>
      <w:r>
        <w:rPr>
          <w:rFonts w:hint="eastAsia"/>
          <w:szCs w:val="32"/>
        </w:rPr>
        <w:t>0</w:t>
      </w:r>
      <w:r w:rsidRPr="00443BED">
        <w:rPr>
          <w:szCs w:val="32"/>
        </w:rPr>
        <w:t>0 mg/m</w:t>
      </w:r>
      <w:r w:rsidRPr="00443BED">
        <w:rPr>
          <w:rFonts w:hint="eastAsia"/>
          <w:szCs w:val="32"/>
          <w:vertAlign w:val="superscript"/>
        </w:rPr>
        <w:t>3</w:t>
      </w:r>
      <w:r w:rsidRPr="00443BED">
        <w:rPr>
          <w:szCs w:val="32"/>
        </w:rPr>
        <w:t>，</w:t>
      </w:r>
      <w:r w:rsidRPr="00443BED">
        <w:rPr>
          <w:szCs w:val="32"/>
        </w:rPr>
        <w:t>Ⅰ</w:t>
      </w:r>
      <w:r w:rsidRPr="00443BED">
        <w:rPr>
          <w:szCs w:val="32"/>
        </w:rPr>
        <w:t>级基准值为</w:t>
      </w:r>
      <w:r w:rsidRPr="00443BED">
        <w:rPr>
          <w:szCs w:val="32"/>
        </w:rPr>
        <w:t>≤</w:t>
      </w:r>
      <w:r>
        <w:rPr>
          <w:rFonts w:hint="eastAsia"/>
          <w:szCs w:val="32"/>
        </w:rPr>
        <w:t>100</w:t>
      </w:r>
      <w:r w:rsidRPr="00443BED">
        <w:rPr>
          <w:szCs w:val="32"/>
        </w:rPr>
        <w:t>0 mg/m</w:t>
      </w:r>
      <w:r w:rsidRPr="00443BED">
        <w:rPr>
          <w:rFonts w:hint="eastAsia"/>
          <w:szCs w:val="32"/>
          <w:vertAlign w:val="superscript"/>
        </w:rPr>
        <w:t>3</w:t>
      </w:r>
      <w:r w:rsidRPr="00443BED">
        <w:rPr>
          <w:szCs w:val="32"/>
        </w:rPr>
        <w:t>。对于流和化床锅炉</w:t>
      </w:r>
      <w:proofErr w:type="gramStart"/>
      <w:r w:rsidRPr="00443BED">
        <w:rPr>
          <w:szCs w:val="32"/>
        </w:rPr>
        <w:t>和室燃锅炉</w:t>
      </w:r>
      <w:proofErr w:type="gramEnd"/>
      <w:r w:rsidRPr="00443BED">
        <w:rPr>
          <w:szCs w:val="32"/>
        </w:rPr>
        <w:t>，烟尘初始排放浓度的基准值分别设置为</w:t>
      </w:r>
      <w:r w:rsidRPr="00443BED">
        <w:rPr>
          <w:szCs w:val="32"/>
        </w:rPr>
        <w:t>≤</w:t>
      </w:r>
      <w:r w:rsidR="00C7221B">
        <w:rPr>
          <w:rFonts w:hint="eastAsia"/>
          <w:szCs w:val="32"/>
        </w:rPr>
        <w:t>1</w:t>
      </w:r>
      <w:r w:rsidR="00C7221B" w:rsidRPr="00443BED">
        <w:rPr>
          <w:szCs w:val="32"/>
        </w:rPr>
        <w:t>5</w:t>
      </w:r>
      <w:r w:rsidR="00C7221B">
        <w:rPr>
          <w:rFonts w:hint="eastAsia"/>
          <w:szCs w:val="32"/>
        </w:rPr>
        <w:t>0</w:t>
      </w:r>
      <w:r w:rsidR="00C7221B" w:rsidRPr="00443BED">
        <w:rPr>
          <w:szCs w:val="32"/>
        </w:rPr>
        <w:t>0</w:t>
      </w:r>
      <w:r w:rsidR="00C7221B">
        <w:rPr>
          <w:rFonts w:hint="eastAsia"/>
          <w:szCs w:val="32"/>
        </w:rPr>
        <w:t>0</w:t>
      </w:r>
      <w:r w:rsidRPr="00443BED">
        <w:rPr>
          <w:szCs w:val="32"/>
        </w:rPr>
        <w:t xml:space="preserve"> mg/m</w:t>
      </w:r>
      <w:r w:rsidRPr="00443BED">
        <w:rPr>
          <w:rFonts w:hint="eastAsia"/>
          <w:szCs w:val="32"/>
          <w:vertAlign w:val="superscript"/>
        </w:rPr>
        <w:t>3</w:t>
      </w:r>
      <w:r w:rsidRPr="00443BED">
        <w:rPr>
          <w:szCs w:val="32"/>
        </w:rPr>
        <w:t>、</w:t>
      </w:r>
      <w:r w:rsidRPr="00443BED">
        <w:rPr>
          <w:szCs w:val="32"/>
        </w:rPr>
        <w:t>≤1</w:t>
      </w:r>
      <w:r w:rsidR="00C7221B">
        <w:rPr>
          <w:rFonts w:hint="eastAsia"/>
          <w:szCs w:val="32"/>
        </w:rPr>
        <w:t>200</w:t>
      </w:r>
      <w:r w:rsidRPr="00443BED">
        <w:rPr>
          <w:szCs w:val="32"/>
        </w:rPr>
        <w:t>0 mg/m</w:t>
      </w:r>
      <w:r w:rsidRPr="00443BED">
        <w:rPr>
          <w:rFonts w:hint="eastAsia"/>
          <w:szCs w:val="32"/>
          <w:vertAlign w:val="superscript"/>
        </w:rPr>
        <w:t>3</w:t>
      </w:r>
      <w:r w:rsidRPr="00443BED">
        <w:rPr>
          <w:szCs w:val="32"/>
        </w:rPr>
        <w:t>和</w:t>
      </w:r>
      <w:r w:rsidRPr="00443BED">
        <w:rPr>
          <w:szCs w:val="32"/>
        </w:rPr>
        <w:t>≤1</w:t>
      </w:r>
      <w:r w:rsidR="00C7221B">
        <w:rPr>
          <w:rFonts w:hint="eastAsia"/>
          <w:szCs w:val="32"/>
        </w:rPr>
        <w:t>0</w:t>
      </w:r>
      <w:r w:rsidRPr="00443BED">
        <w:rPr>
          <w:szCs w:val="32"/>
        </w:rPr>
        <w:t>0</w:t>
      </w:r>
      <w:r w:rsidR="00C7221B">
        <w:rPr>
          <w:rFonts w:hint="eastAsia"/>
          <w:szCs w:val="32"/>
        </w:rPr>
        <w:t>00</w:t>
      </w:r>
      <w:r w:rsidRPr="00443BED">
        <w:rPr>
          <w:szCs w:val="32"/>
        </w:rPr>
        <w:t xml:space="preserve"> mg/m</w:t>
      </w:r>
      <w:r w:rsidRPr="00443BED">
        <w:rPr>
          <w:rFonts w:hint="eastAsia"/>
          <w:szCs w:val="32"/>
          <w:vertAlign w:val="superscript"/>
        </w:rPr>
        <w:t>3</w:t>
      </w:r>
      <w:r w:rsidRPr="00443BED">
        <w:rPr>
          <w:szCs w:val="32"/>
        </w:rPr>
        <w:t>。</w:t>
      </w:r>
      <w:r w:rsidR="00C7221B" w:rsidRPr="00C7221B">
        <w:rPr>
          <w:szCs w:val="32"/>
        </w:rPr>
        <w:t>这些基准值旨在反映不同炉型的燃烧特性及烟尘排放水平，并为后续除尘设备的配置和优化提供依据。</w:t>
      </w:r>
    </w:p>
    <w:p w14:paraId="02AE239B" w14:textId="562D547B" w:rsidR="00C7221B" w:rsidRDefault="00C7221B" w:rsidP="00084192">
      <w:pPr>
        <w:autoSpaceDE w:val="0"/>
        <w:autoSpaceDN w:val="0"/>
        <w:adjustRightInd w:val="0"/>
        <w:spacing w:line="540" w:lineRule="exact"/>
        <w:ind w:firstLine="640"/>
        <w:rPr>
          <w:szCs w:val="32"/>
        </w:rPr>
      </w:pPr>
      <w:r w:rsidRPr="00C7221B">
        <w:rPr>
          <w:szCs w:val="32"/>
        </w:rPr>
        <w:t>根据上述初始排放浓度远高于国标锅炉大气污染物排放要</w:t>
      </w:r>
      <w:r w:rsidRPr="00C7221B">
        <w:rPr>
          <w:szCs w:val="32"/>
        </w:rPr>
        <w:lastRenderedPageBreak/>
        <w:t>求，因此需要配备烟气净化装置。根据国标大气污染物排放要求和初始排放浓度，设立了不同的烟气净化装置配置等级。</w:t>
      </w:r>
    </w:p>
    <w:p w14:paraId="03E8336B" w14:textId="455E47FE" w:rsidR="00C7221B" w:rsidRDefault="00C7221B" w:rsidP="00084192">
      <w:pPr>
        <w:autoSpaceDE w:val="0"/>
        <w:autoSpaceDN w:val="0"/>
        <w:adjustRightInd w:val="0"/>
        <w:spacing w:line="540" w:lineRule="exact"/>
        <w:ind w:firstLine="640"/>
        <w:rPr>
          <w:szCs w:val="32"/>
        </w:rPr>
      </w:pPr>
      <w:r w:rsidRPr="00C7221B">
        <w:rPr>
          <w:szCs w:val="32"/>
        </w:rPr>
        <w:t>在</w:t>
      </w:r>
      <w:r>
        <w:rPr>
          <w:rFonts w:hint="eastAsia"/>
          <w:szCs w:val="32"/>
        </w:rPr>
        <w:t>Ⅰ</w:t>
      </w:r>
      <w:r w:rsidRPr="00C7221B">
        <w:rPr>
          <w:szCs w:val="32"/>
        </w:rPr>
        <w:t>级和</w:t>
      </w:r>
      <w:r>
        <w:rPr>
          <w:rFonts w:hint="eastAsia"/>
          <w:szCs w:val="32"/>
        </w:rPr>
        <w:t>Ⅱ</w:t>
      </w:r>
      <w:r w:rsidRPr="00C7221B">
        <w:rPr>
          <w:szCs w:val="32"/>
        </w:rPr>
        <w:t>级配置中，脱酸装置选择干法、半干法或湿法路线之一，并具备药剂投加与出口浓度联动控制系统，以有效控制酸性气体的排放；脱硝装置</w:t>
      </w:r>
      <w:proofErr w:type="gramStart"/>
      <w:r w:rsidRPr="00C7221B">
        <w:rPr>
          <w:szCs w:val="32"/>
        </w:rPr>
        <w:t>采用低氮燃烧</w:t>
      </w:r>
      <w:proofErr w:type="gramEnd"/>
      <w:r w:rsidRPr="00C7221B">
        <w:rPr>
          <w:szCs w:val="32"/>
        </w:rPr>
        <w:t>技术与选择性非催化还原（</w:t>
      </w:r>
      <w:r w:rsidRPr="00C7221B">
        <w:rPr>
          <w:szCs w:val="32"/>
        </w:rPr>
        <w:t>SNCR</w:t>
      </w:r>
      <w:r w:rsidRPr="00C7221B">
        <w:rPr>
          <w:szCs w:val="32"/>
        </w:rPr>
        <w:t>）或选择性催化还原（</w:t>
      </w:r>
      <w:r w:rsidRPr="00C7221B">
        <w:rPr>
          <w:szCs w:val="32"/>
        </w:rPr>
        <w:t>SCR</w:t>
      </w:r>
      <w:r w:rsidRPr="00C7221B">
        <w:rPr>
          <w:szCs w:val="32"/>
        </w:rPr>
        <w:t>）设备联动，确保</w:t>
      </w:r>
      <w:r w:rsidRPr="00C7221B">
        <w:rPr>
          <w:szCs w:val="32"/>
        </w:rPr>
        <w:t>NO</w:t>
      </w:r>
      <w:r w:rsidRPr="00C7221B">
        <w:rPr>
          <w:i/>
          <w:iCs/>
          <w:szCs w:val="32"/>
          <w:vertAlign w:val="subscript"/>
        </w:rPr>
        <w:t>x</w:t>
      </w:r>
      <w:r w:rsidRPr="00C7221B">
        <w:rPr>
          <w:szCs w:val="32"/>
        </w:rPr>
        <w:t>排放达到标准要求；除尘装置在高效除尘设施基础上，增加了针对细颗粒物控制的强化措施，如湿式电除尘或末端精细化控制策略（如布袋除尘器、</w:t>
      </w:r>
      <w:proofErr w:type="gramStart"/>
      <w:r w:rsidRPr="00C7221B">
        <w:rPr>
          <w:szCs w:val="32"/>
        </w:rPr>
        <w:t>电袋复合</w:t>
      </w:r>
      <w:proofErr w:type="gramEnd"/>
      <w:r w:rsidRPr="00C7221B">
        <w:rPr>
          <w:szCs w:val="32"/>
        </w:rPr>
        <w:t>除尘设备）。对于</w:t>
      </w:r>
      <w:r>
        <w:rPr>
          <w:rFonts w:hint="eastAsia"/>
          <w:szCs w:val="32"/>
        </w:rPr>
        <w:t>Ⅲ</w:t>
      </w:r>
      <w:r w:rsidRPr="00C7221B">
        <w:rPr>
          <w:szCs w:val="32"/>
        </w:rPr>
        <w:t>级配置，主要依赖源头控制，通过优化燃烧工艺和稳定运行的高效除尘设备，实现对酸性气体、</w:t>
      </w:r>
      <w:r w:rsidRPr="00C7221B">
        <w:rPr>
          <w:szCs w:val="32"/>
        </w:rPr>
        <w:t>NO</w:t>
      </w:r>
      <w:r w:rsidRPr="00C7221B">
        <w:rPr>
          <w:i/>
          <w:iCs/>
          <w:szCs w:val="32"/>
          <w:vertAlign w:val="subscript"/>
        </w:rPr>
        <w:t>x</w:t>
      </w:r>
      <w:r w:rsidRPr="00C7221B">
        <w:rPr>
          <w:szCs w:val="32"/>
        </w:rPr>
        <w:t>和颗粒物的初步控制，适用于</w:t>
      </w:r>
      <w:r w:rsidRPr="00C7221B">
        <w:rPr>
          <w:szCs w:val="32"/>
        </w:rPr>
        <w:t>NO</w:t>
      </w:r>
      <w:r w:rsidRPr="00C7221B">
        <w:rPr>
          <w:i/>
          <w:iCs/>
          <w:szCs w:val="32"/>
          <w:vertAlign w:val="subscript"/>
        </w:rPr>
        <w:t>x</w:t>
      </w:r>
      <w:r w:rsidRPr="00C7221B">
        <w:rPr>
          <w:szCs w:val="32"/>
        </w:rPr>
        <w:t>和烟尘排放浓度较低的情况。通过这些配置，能够确保锅炉烟气治理符合或优于国家大气污染物排放要求，有效减少对环境的污染。</w:t>
      </w:r>
    </w:p>
    <w:p w14:paraId="661BE71F" w14:textId="182A89D9" w:rsidR="00C7221B" w:rsidRPr="00C6484A" w:rsidRDefault="00C6484A" w:rsidP="00084192">
      <w:pPr>
        <w:autoSpaceDE w:val="0"/>
        <w:autoSpaceDN w:val="0"/>
        <w:adjustRightInd w:val="0"/>
        <w:spacing w:line="540" w:lineRule="exact"/>
        <w:ind w:firstLine="640"/>
        <w:rPr>
          <w:szCs w:val="32"/>
          <w:lang w:val="zh-CN"/>
        </w:rPr>
      </w:pPr>
      <w:r w:rsidRPr="00C6484A">
        <w:rPr>
          <w:szCs w:val="32"/>
        </w:rPr>
        <w:t>对于在线监测系统，</w:t>
      </w:r>
      <w:r>
        <w:rPr>
          <w:rFonts w:hint="eastAsia"/>
          <w:szCs w:val="32"/>
        </w:rPr>
        <w:t>Ⅰ</w:t>
      </w:r>
      <w:r w:rsidRPr="00C6484A">
        <w:rPr>
          <w:szCs w:val="32"/>
        </w:rPr>
        <w:t>级配置处理前和处理后烟气在线监测系统，确保数据完整准确；</w:t>
      </w:r>
      <w:r>
        <w:rPr>
          <w:rFonts w:hint="eastAsia"/>
          <w:szCs w:val="32"/>
        </w:rPr>
        <w:t>Ⅱ</w:t>
      </w:r>
      <w:r w:rsidRPr="00C6484A">
        <w:rPr>
          <w:szCs w:val="32"/>
        </w:rPr>
        <w:t>级和</w:t>
      </w:r>
      <w:r>
        <w:rPr>
          <w:rFonts w:hint="eastAsia"/>
          <w:szCs w:val="32"/>
        </w:rPr>
        <w:t>Ⅲ</w:t>
      </w:r>
      <w:r w:rsidRPr="00C6484A">
        <w:rPr>
          <w:szCs w:val="32"/>
        </w:rPr>
        <w:t>级仅设置处理后烟气在线监测系统，同样保证数据的完整性和准确性。系统校准方面，一级、二级和三级的指标基准值一致，系统校准严格按照</w:t>
      </w:r>
      <w:r w:rsidRPr="00C6484A">
        <w:rPr>
          <w:szCs w:val="32"/>
        </w:rPr>
        <w:t>HJ 75</w:t>
      </w:r>
      <w:r w:rsidRPr="00C6484A">
        <w:rPr>
          <w:szCs w:val="32"/>
        </w:rPr>
        <w:t>标准要求进行，确保气体分析仪的校准频次符合相关规定，且颗粒物监测仪器的校验周期不超过</w:t>
      </w:r>
      <w:r w:rsidRPr="00C6484A">
        <w:rPr>
          <w:szCs w:val="32"/>
        </w:rPr>
        <w:t>6</w:t>
      </w:r>
      <w:r w:rsidRPr="00C6484A">
        <w:rPr>
          <w:szCs w:val="32"/>
        </w:rPr>
        <w:t>个月。这些措施确保了在线监测系统在不同配置等级下的高效运行和数据的准确性，为排放控制和环境监测提供了有力保障。</w:t>
      </w:r>
    </w:p>
    <w:p w14:paraId="59065911" w14:textId="5B6667EF" w:rsidR="00445F8C" w:rsidRDefault="00084192" w:rsidP="00084192">
      <w:pPr>
        <w:autoSpaceDE w:val="0"/>
        <w:autoSpaceDN w:val="0"/>
        <w:adjustRightInd w:val="0"/>
        <w:spacing w:line="540" w:lineRule="exact"/>
        <w:ind w:firstLine="640"/>
        <w:rPr>
          <w:szCs w:val="32"/>
          <w:lang w:val="zh-CN"/>
        </w:rPr>
      </w:pPr>
      <w:r>
        <w:rPr>
          <w:szCs w:val="32"/>
          <w:lang w:val="zh-CN"/>
        </w:rPr>
        <w:t>在生产装备方面，设置的基础要求为生物质锅炉及其配套系统配置完整、运行可靠，与燃料特性和设计负荷匹配，具备连续运行能力，满足安全生产及污染物达标排放要求。在此基础上，将设备自动化水平、燃烧烟气在线检测系统配置及热控系统能力</w:t>
      </w:r>
      <w:r>
        <w:rPr>
          <w:szCs w:val="32"/>
          <w:lang w:val="zh-CN"/>
        </w:rPr>
        <w:lastRenderedPageBreak/>
        <w:t>作为重点评价要素纳入分级指标体系。</w:t>
      </w:r>
    </w:p>
    <w:p w14:paraId="67899AD4" w14:textId="5B4ED208" w:rsidR="00C6484A" w:rsidRDefault="00C6484A" w:rsidP="00084192">
      <w:pPr>
        <w:autoSpaceDE w:val="0"/>
        <w:autoSpaceDN w:val="0"/>
        <w:adjustRightInd w:val="0"/>
        <w:spacing w:line="540" w:lineRule="exact"/>
        <w:ind w:firstLine="640"/>
        <w:rPr>
          <w:szCs w:val="32"/>
        </w:rPr>
      </w:pPr>
      <w:r w:rsidRPr="00C6484A">
        <w:rPr>
          <w:szCs w:val="32"/>
        </w:rPr>
        <w:t>在设备自动化方面，系统包括燃料给料量自动控制（与负荷联动）、一次</w:t>
      </w:r>
      <w:r w:rsidRPr="00C6484A">
        <w:rPr>
          <w:szCs w:val="32"/>
        </w:rPr>
        <w:t>/</w:t>
      </w:r>
      <w:r w:rsidRPr="00C6484A">
        <w:rPr>
          <w:szCs w:val="32"/>
        </w:rPr>
        <w:t>二次风量自动控制（与给料联动）、炉膛负压自动控制、氧量自动控制（过量空气系数控制）、汽包水位（蒸汽锅炉）或供回水温度</w:t>
      </w:r>
      <w:r w:rsidRPr="00C6484A">
        <w:rPr>
          <w:szCs w:val="32"/>
        </w:rPr>
        <w:t>/</w:t>
      </w:r>
      <w:r w:rsidRPr="00C6484A">
        <w:rPr>
          <w:szCs w:val="32"/>
        </w:rPr>
        <w:t>压力（热水锅炉）自动控制，以及关键报警与</w:t>
      </w:r>
      <w:proofErr w:type="gramStart"/>
      <w:r w:rsidRPr="00C6484A">
        <w:rPr>
          <w:szCs w:val="32"/>
        </w:rPr>
        <w:t>联锁</w:t>
      </w:r>
      <w:proofErr w:type="gramEnd"/>
      <w:r w:rsidRPr="00C6484A">
        <w:rPr>
          <w:szCs w:val="32"/>
        </w:rPr>
        <w:t>保护投运（如超温、缺水</w:t>
      </w:r>
      <w:r w:rsidRPr="00C6484A">
        <w:rPr>
          <w:szCs w:val="32"/>
        </w:rPr>
        <w:t>/</w:t>
      </w:r>
      <w:r w:rsidRPr="00C6484A">
        <w:rPr>
          <w:szCs w:val="32"/>
        </w:rPr>
        <w:t>低水位、正压、风机</w:t>
      </w:r>
      <w:proofErr w:type="gramStart"/>
      <w:r w:rsidRPr="00C6484A">
        <w:rPr>
          <w:szCs w:val="32"/>
        </w:rPr>
        <w:t>联锁</w:t>
      </w:r>
      <w:proofErr w:type="gramEnd"/>
      <w:r w:rsidRPr="00C6484A">
        <w:rPr>
          <w:szCs w:val="32"/>
        </w:rPr>
        <w:t>等）等</w:t>
      </w:r>
      <w:r w:rsidRPr="00C6484A">
        <w:rPr>
          <w:szCs w:val="32"/>
        </w:rPr>
        <w:t>6</w:t>
      </w:r>
      <w:r w:rsidRPr="00C6484A">
        <w:rPr>
          <w:szCs w:val="32"/>
        </w:rPr>
        <w:t>项功能。对于不同配置等级，</w:t>
      </w:r>
      <w:r>
        <w:rPr>
          <w:rFonts w:hint="eastAsia"/>
          <w:szCs w:val="32"/>
        </w:rPr>
        <w:t>Ⅰ</w:t>
      </w:r>
      <w:proofErr w:type="gramStart"/>
      <w:r>
        <w:rPr>
          <w:rFonts w:hint="eastAsia"/>
          <w:szCs w:val="32"/>
        </w:rPr>
        <w:t>级需满足</w:t>
      </w:r>
      <w:proofErr w:type="gramEnd"/>
      <w:r>
        <w:rPr>
          <w:rFonts w:hint="eastAsia"/>
          <w:szCs w:val="32"/>
        </w:rPr>
        <w:t>上述</w:t>
      </w:r>
      <w:r>
        <w:rPr>
          <w:rFonts w:hint="eastAsia"/>
          <w:szCs w:val="32"/>
        </w:rPr>
        <w:t>6</w:t>
      </w:r>
      <w:r>
        <w:rPr>
          <w:rFonts w:hint="eastAsia"/>
          <w:szCs w:val="32"/>
        </w:rPr>
        <w:t>项功能，Ⅱ</w:t>
      </w:r>
      <w:proofErr w:type="gramStart"/>
      <w:r w:rsidRPr="00C6484A">
        <w:rPr>
          <w:szCs w:val="32"/>
        </w:rPr>
        <w:t>级</w:t>
      </w:r>
      <w:r>
        <w:rPr>
          <w:rFonts w:hint="eastAsia"/>
          <w:szCs w:val="32"/>
        </w:rPr>
        <w:t>至少</w:t>
      </w:r>
      <w:proofErr w:type="gramEnd"/>
      <w:r w:rsidRPr="00C6484A">
        <w:rPr>
          <w:szCs w:val="32"/>
        </w:rPr>
        <w:t>需满足上述</w:t>
      </w:r>
      <w:r w:rsidRPr="00C6484A">
        <w:rPr>
          <w:szCs w:val="32"/>
        </w:rPr>
        <w:t>6</w:t>
      </w:r>
      <w:r w:rsidRPr="00C6484A">
        <w:rPr>
          <w:szCs w:val="32"/>
        </w:rPr>
        <w:t>项功能中的</w:t>
      </w:r>
      <w:r w:rsidRPr="00C6484A">
        <w:rPr>
          <w:szCs w:val="32"/>
        </w:rPr>
        <w:t>4</w:t>
      </w:r>
      <w:r w:rsidRPr="00C6484A">
        <w:rPr>
          <w:szCs w:val="32"/>
        </w:rPr>
        <w:t>项，</w:t>
      </w:r>
      <w:r>
        <w:rPr>
          <w:rFonts w:hint="eastAsia"/>
          <w:szCs w:val="32"/>
        </w:rPr>
        <w:t>Ⅲ</w:t>
      </w:r>
      <w:proofErr w:type="gramStart"/>
      <w:r w:rsidRPr="00C6484A">
        <w:rPr>
          <w:szCs w:val="32"/>
        </w:rPr>
        <w:t>级</w:t>
      </w:r>
      <w:r>
        <w:rPr>
          <w:rFonts w:hint="eastAsia"/>
          <w:szCs w:val="32"/>
        </w:rPr>
        <w:t>至少</w:t>
      </w:r>
      <w:proofErr w:type="gramEnd"/>
      <w:r w:rsidRPr="00C6484A">
        <w:rPr>
          <w:szCs w:val="32"/>
        </w:rPr>
        <w:t>需满足其中的</w:t>
      </w:r>
      <w:r w:rsidRPr="00C6484A">
        <w:rPr>
          <w:szCs w:val="32"/>
        </w:rPr>
        <w:t>2</w:t>
      </w:r>
      <w:r w:rsidRPr="00C6484A">
        <w:rPr>
          <w:szCs w:val="32"/>
        </w:rPr>
        <w:t>项，从而确保设备运行的自动化水平和安全性，提升系统的运行效率与稳定性。</w:t>
      </w:r>
    </w:p>
    <w:p w14:paraId="76FC96B8" w14:textId="6E3DE8A4" w:rsidR="00C6484A" w:rsidRDefault="00C6484A" w:rsidP="00084192">
      <w:pPr>
        <w:autoSpaceDE w:val="0"/>
        <w:autoSpaceDN w:val="0"/>
        <w:adjustRightInd w:val="0"/>
        <w:spacing w:line="540" w:lineRule="exact"/>
        <w:ind w:firstLine="640"/>
        <w:jc w:val="left"/>
        <w:rPr>
          <w:rFonts w:eastAsia="黑体"/>
          <w:szCs w:val="32"/>
        </w:rPr>
      </w:pPr>
      <w:r>
        <w:rPr>
          <w:rFonts w:eastAsia="黑体" w:hint="eastAsia"/>
          <w:szCs w:val="32"/>
        </w:rPr>
        <w:t>2</w:t>
      </w:r>
      <w:r>
        <w:rPr>
          <w:rFonts w:eastAsia="黑体"/>
          <w:szCs w:val="32"/>
        </w:rPr>
        <w:t>、</w:t>
      </w:r>
      <w:r>
        <w:rPr>
          <w:rFonts w:eastAsia="黑体" w:hint="eastAsia"/>
          <w:szCs w:val="32"/>
        </w:rPr>
        <w:t>综合能效</w:t>
      </w:r>
      <w:r>
        <w:rPr>
          <w:rFonts w:eastAsia="黑体"/>
          <w:szCs w:val="32"/>
        </w:rPr>
        <w:t>指标</w:t>
      </w:r>
    </w:p>
    <w:p w14:paraId="532EF925" w14:textId="708A9DB0" w:rsidR="00C6484A" w:rsidRPr="001A3D3D" w:rsidRDefault="001A3D3D" w:rsidP="00084192">
      <w:pPr>
        <w:autoSpaceDE w:val="0"/>
        <w:autoSpaceDN w:val="0"/>
        <w:adjustRightInd w:val="0"/>
        <w:spacing w:line="540" w:lineRule="exact"/>
        <w:ind w:firstLine="640"/>
        <w:rPr>
          <w:szCs w:val="32"/>
          <w:lang w:val="zh-CN"/>
        </w:rPr>
      </w:pPr>
      <w:r w:rsidRPr="001A3D3D">
        <w:rPr>
          <w:szCs w:val="32"/>
        </w:rPr>
        <w:t>本标准中的</w:t>
      </w:r>
      <w:r w:rsidRPr="001A3D3D">
        <w:rPr>
          <w:szCs w:val="32"/>
        </w:rPr>
        <w:t>“</w:t>
      </w:r>
      <w:r w:rsidRPr="001A3D3D">
        <w:rPr>
          <w:szCs w:val="32"/>
        </w:rPr>
        <w:t>综合能效指标</w:t>
      </w:r>
      <w:r w:rsidRPr="001A3D3D">
        <w:rPr>
          <w:szCs w:val="32"/>
        </w:rPr>
        <w:t>”</w:t>
      </w:r>
      <w:r w:rsidRPr="001A3D3D">
        <w:rPr>
          <w:szCs w:val="32"/>
        </w:rPr>
        <w:t>一级指标，重点围绕生物质锅炉清洁燃烧过程中的电耗计量与节电管理，以及辅机与尾部治理系统的能效匹配。具体参考了以下标准：《用能单位能源计量器具配备和管理通则》（</w:t>
      </w:r>
      <w:r w:rsidRPr="001A3D3D">
        <w:rPr>
          <w:szCs w:val="32"/>
        </w:rPr>
        <w:t>GB 17167-2006</w:t>
      </w:r>
      <w:r w:rsidRPr="001A3D3D">
        <w:rPr>
          <w:szCs w:val="32"/>
        </w:rPr>
        <w:t>）、《工业锅炉系统节能设计指南》（</w:t>
      </w:r>
      <w:r w:rsidRPr="001A3D3D">
        <w:rPr>
          <w:szCs w:val="32"/>
        </w:rPr>
        <w:t>GB/T 34912-2024</w:t>
      </w:r>
      <w:r w:rsidRPr="001A3D3D">
        <w:rPr>
          <w:szCs w:val="32"/>
        </w:rPr>
        <w:t>）和《工业锅炉系统节能管理要求》（</w:t>
      </w:r>
      <w:r w:rsidRPr="001A3D3D">
        <w:rPr>
          <w:szCs w:val="32"/>
        </w:rPr>
        <w:t>GB/T 38553-2020</w:t>
      </w:r>
      <w:r w:rsidRPr="001A3D3D">
        <w:rPr>
          <w:szCs w:val="32"/>
        </w:rPr>
        <w:t>）。</w:t>
      </w:r>
    </w:p>
    <w:p w14:paraId="62B93A40" w14:textId="1E353B0D" w:rsidR="00C6484A" w:rsidRDefault="00C6484A" w:rsidP="00084192">
      <w:pPr>
        <w:autoSpaceDE w:val="0"/>
        <w:autoSpaceDN w:val="0"/>
        <w:adjustRightInd w:val="0"/>
        <w:spacing w:line="540" w:lineRule="exact"/>
        <w:ind w:firstLine="640"/>
        <w:rPr>
          <w:szCs w:val="32"/>
        </w:rPr>
      </w:pPr>
      <w:r w:rsidRPr="00C6484A">
        <w:rPr>
          <w:szCs w:val="32"/>
        </w:rPr>
        <w:t>在电耗计量与节电管理方面</w:t>
      </w:r>
      <w:r w:rsidR="001A3D3D">
        <w:rPr>
          <w:rFonts w:hint="eastAsia"/>
          <w:szCs w:val="32"/>
        </w:rPr>
        <w:t>，将</w:t>
      </w:r>
      <w:r>
        <w:rPr>
          <w:rFonts w:hint="eastAsia"/>
          <w:szCs w:val="32"/>
        </w:rPr>
        <w:t>Ⅰ级基准值</w:t>
      </w:r>
      <w:r w:rsidRPr="00C6484A">
        <w:rPr>
          <w:szCs w:val="32"/>
        </w:rPr>
        <w:t>设置</w:t>
      </w:r>
      <w:r>
        <w:rPr>
          <w:rFonts w:hint="eastAsia"/>
          <w:szCs w:val="32"/>
        </w:rPr>
        <w:t>为存在</w:t>
      </w:r>
      <w:r w:rsidRPr="00C6484A">
        <w:rPr>
          <w:szCs w:val="32"/>
        </w:rPr>
        <w:t>独立计量边界并形成用电台账，关键用电设备实行联动、变频和优化控制，以确保用电效率的最大化。对于</w:t>
      </w:r>
      <w:r>
        <w:rPr>
          <w:rFonts w:hint="eastAsia"/>
          <w:szCs w:val="32"/>
        </w:rPr>
        <w:t>Ⅱ</w:t>
      </w:r>
      <w:r w:rsidRPr="00C6484A">
        <w:rPr>
          <w:szCs w:val="32"/>
        </w:rPr>
        <w:t>级，要求具备锅炉系统总用电统计与台账，并开展一般的节电管理。而</w:t>
      </w:r>
      <w:r>
        <w:rPr>
          <w:rFonts w:hint="eastAsia"/>
          <w:szCs w:val="32"/>
        </w:rPr>
        <w:t>Ⅲ</w:t>
      </w:r>
      <w:r w:rsidRPr="00C6484A">
        <w:rPr>
          <w:szCs w:val="32"/>
        </w:rPr>
        <w:t>级系统则可能没有明确的计量边界，或者只能提供厂区的总电量，缺少锅炉系统的用电台账。</w:t>
      </w:r>
    </w:p>
    <w:p w14:paraId="0350AEC0" w14:textId="460238C1" w:rsidR="00C6484A" w:rsidRPr="00C6484A" w:rsidRDefault="00C6484A" w:rsidP="00084192">
      <w:pPr>
        <w:autoSpaceDE w:val="0"/>
        <w:autoSpaceDN w:val="0"/>
        <w:adjustRightInd w:val="0"/>
        <w:spacing w:line="540" w:lineRule="exact"/>
        <w:ind w:firstLine="640"/>
        <w:rPr>
          <w:szCs w:val="32"/>
        </w:rPr>
      </w:pPr>
      <w:r w:rsidRPr="00C6484A">
        <w:rPr>
          <w:szCs w:val="32"/>
        </w:rPr>
        <w:t>在辅机与尾部治理系统的能效匹配方面，</w:t>
      </w:r>
      <w:r w:rsidR="001A3D3D">
        <w:rPr>
          <w:rFonts w:hint="eastAsia"/>
          <w:szCs w:val="32"/>
        </w:rPr>
        <w:t>参考</w:t>
      </w:r>
      <w:r>
        <w:rPr>
          <w:rFonts w:hint="eastAsia"/>
          <w:szCs w:val="32"/>
        </w:rPr>
        <w:t>Ⅰ、Ⅱ级基准值</w:t>
      </w:r>
      <w:r w:rsidRPr="00C6484A">
        <w:rPr>
          <w:szCs w:val="32"/>
        </w:rPr>
        <w:t>设置</w:t>
      </w:r>
      <w:r>
        <w:rPr>
          <w:rFonts w:hint="eastAsia"/>
          <w:szCs w:val="32"/>
        </w:rPr>
        <w:t>为</w:t>
      </w:r>
      <w:r w:rsidRPr="00C6484A">
        <w:rPr>
          <w:szCs w:val="32"/>
        </w:rPr>
        <w:t>风机、泵、除尘、脱酸、脱硝等辅机与锅炉负荷联动，</w:t>
      </w:r>
      <w:r w:rsidRPr="00C6484A">
        <w:rPr>
          <w:szCs w:val="32"/>
        </w:rPr>
        <w:lastRenderedPageBreak/>
        <w:t>压差、投加量及运行参数按照能效最优区间进行管理</w:t>
      </w:r>
      <w:r>
        <w:rPr>
          <w:rFonts w:hint="eastAsia"/>
          <w:szCs w:val="32"/>
        </w:rPr>
        <w:t>，</w:t>
      </w:r>
      <w:r w:rsidRPr="00C6484A">
        <w:rPr>
          <w:szCs w:val="32"/>
        </w:rPr>
        <w:t>实现更为全面的能效优化。对于</w:t>
      </w:r>
      <w:r>
        <w:rPr>
          <w:rFonts w:hint="eastAsia"/>
          <w:szCs w:val="32"/>
        </w:rPr>
        <w:t>Ⅲ</w:t>
      </w:r>
      <w:r w:rsidRPr="00C6484A">
        <w:rPr>
          <w:szCs w:val="32"/>
        </w:rPr>
        <w:t>级，</w:t>
      </w:r>
      <w:r>
        <w:rPr>
          <w:rFonts w:hint="eastAsia"/>
          <w:szCs w:val="32"/>
        </w:rPr>
        <w:t>基准值</w:t>
      </w:r>
      <w:r w:rsidRPr="00C6484A">
        <w:rPr>
          <w:szCs w:val="32"/>
        </w:rPr>
        <w:t>设置</w:t>
      </w:r>
      <w:r>
        <w:rPr>
          <w:rFonts w:hint="eastAsia"/>
          <w:szCs w:val="32"/>
        </w:rPr>
        <w:t>为</w:t>
      </w:r>
      <w:r w:rsidRPr="00C6484A">
        <w:rPr>
          <w:szCs w:val="32"/>
        </w:rPr>
        <w:t>辅机运行参数有记录但联动性不足，能效管理主要以达到标准为主</w:t>
      </w:r>
      <w:r>
        <w:rPr>
          <w:rFonts w:hint="eastAsia"/>
          <w:szCs w:val="32"/>
        </w:rPr>
        <w:t>。</w:t>
      </w:r>
    </w:p>
    <w:p w14:paraId="185F6874" w14:textId="7453AC4F" w:rsidR="00C6484A" w:rsidRDefault="00C6484A" w:rsidP="00084192">
      <w:pPr>
        <w:autoSpaceDE w:val="0"/>
        <w:autoSpaceDN w:val="0"/>
        <w:adjustRightInd w:val="0"/>
        <w:spacing w:line="540" w:lineRule="exact"/>
        <w:ind w:firstLine="640"/>
        <w:jc w:val="left"/>
        <w:rPr>
          <w:rFonts w:eastAsia="黑体"/>
          <w:szCs w:val="32"/>
        </w:rPr>
      </w:pPr>
      <w:r>
        <w:rPr>
          <w:rFonts w:eastAsia="黑体" w:hint="eastAsia"/>
          <w:szCs w:val="32"/>
        </w:rPr>
        <w:t>3</w:t>
      </w:r>
      <w:r>
        <w:rPr>
          <w:rFonts w:eastAsia="黑体"/>
          <w:szCs w:val="32"/>
        </w:rPr>
        <w:t>、</w:t>
      </w:r>
      <w:r w:rsidR="001A3D3D" w:rsidRPr="001A3D3D">
        <w:rPr>
          <w:rFonts w:eastAsia="黑体" w:hint="eastAsia"/>
          <w:szCs w:val="32"/>
        </w:rPr>
        <w:t>水资源消耗</w:t>
      </w:r>
      <w:r>
        <w:rPr>
          <w:rFonts w:eastAsia="黑体"/>
          <w:szCs w:val="32"/>
        </w:rPr>
        <w:t>指标</w:t>
      </w:r>
    </w:p>
    <w:p w14:paraId="05E2FFEC" w14:textId="2529F4F3" w:rsidR="001A3D3D" w:rsidRPr="001A3D3D" w:rsidRDefault="001A3D3D" w:rsidP="00084192">
      <w:pPr>
        <w:autoSpaceDE w:val="0"/>
        <w:autoSpaceDN w:val="0"/>
        <w:adjustRightInd w:val="0"/>
        <w:spacing w:line="540" w:lineRule="exact"/>
        <w:ind w:firstLine="640"/>
        <w:rPr>
          <w:szCs w:val="32"/>
        </w:rPr>
      </w:pPr>
      <w:r w:rsidRPr="001A3D3D">
        <w:rPr>
          <w:szCs w:val="32"/>
        </w:rPr>
        <w:t>本标准一级指标</w:t>
      </w:r>
      <w:r w:rsidRPr="001A3D3D">
        <w:rPr>
          <w:szCs w:val="32"/>
        </w:rPr>
        <w:t>“</w:t>
      </w:r>
      <w:r w:rsidRPr="001A3D3D">
        <w:rPr>
          <w:szCs w:val="32"/>
        </w:rPr>
        <w:t>水资源消耗</w:t>
      </w:r>
      <w:r w:rsidRPr="001A3D3D">
        <w:rPr>
          <w:szCs w:val="32"/>
        </w:rPr>
        <w:t>”</w:t>
      </w:r>
      <w:r w:rsidRPr="001A3D3D">
        <w:rPr>
          <w:szCs w:val="32"/>
        </w:rPr>
        <w:t>，依据国家相关水资源管理和锅炉系统运行标准，参照《用能单位能源计量器具配备和管理通则》（</w:t>
      </w:r>
      <w:r w:rsidRPr="001A3D3D">
        <w:rPr>
          <w:szCs w:val="32"/>
        </w:rPr>
        <w:t>GB 17167</w:t>
      </w:r>
      <w:r w:rsidRPr="001A3D3D">
        <w:rPr>
          <w:szCs w:val="32"/>
        </w:rPr>
        <w:noBreakHyphen/>
        <w:t>2006</w:t>
      </w:r>
      <w:r w:rsidRPr="001A3D3D">
        <w:rPr>
          <w:szCs w:val="32"/>
        </w:rPr>
        <w:t>）以及工业锅炉用水质量与处理相关标准（如《工业锅炉水质》（</w:t>
      </w:r>
      <w:r w:rsidRPr="001A3D3D">
        <w:rPr>
          <w:szCs w:val="32"/>
        </w:rPr>
        <w:t>GB/T 1576</w:t>
      </w:r>
      <w:r w:rsidRPr="001A3D3D">
        <w:rPr>
          <w:szCs w:val="32"/>
        </w:rPr>
        <w:noBreakHyphen/>
        <w:t>2018</w:t>
      </w:r>
      <w:r w:rsidRPr="001A3D3D">
        <w:rPr>
          <w:szCs w:val="32"/>
        </w:rPr>
        <w:t>），结合清洁燃烧全过程的节水与水质管理要求设置基准值。</w:t>
      </w:r>
    </w:p>
    <w:p w14:paraId="18E350EC" w14:textId="043F4590" w:rsidR="00C6484A" w:rsidRDefault="001A3D3D" w:rsidP="00084192">
      <w:pPr>
        <w:autoSpaceDE w:val="0"/>
        <w:autoSpaceDN w:val="0"/>
        <w:adjustRightInd w:val="0"/>
        <w:spacing w:line="540" w:lineRule="exact"/>
        <w:ind w:firstLine="640"/>
        <w:rPr>
          <w:szCs w:val="32"/>
        </w:rPr>
      </w:pPr>
      <w:r w:rsidRPr="001A3D3D">
        <w:rPr>
          <w:szCs w:val="32"/>
        </w:rPr>
        <w:t>在取水计量与节水管理方面，</w:t>
      </w:r>
      <w:r>
        <w:rPr>
          <w:rFonts w:hint="eastAsia"/>
          <w:szCs w:val="32"/>
        </w:rPr>
        <w:t>Ⅰ</w:t>
      </w:r>
      <w:r w:rsidRPr="001A3D3D">
        <w:rPr>
          <w:szCs w:val="32"/>
        </w:rPr>
        <w:t>级基准值设置为锅炉系统设有独立取水计量边界（独立水表或等效计量）并形成完整的取水与补</w:t>
      </w:r>
      <w:proofErr w:type="gramStart"/>
      <w:r w:rsidRPr="001A3D3D">
        <w:rPr>
          <w:szCs w:val="32"/>
        </w:rPr>
        <w:t>排水台</w:t>
      </w:r>
      <w:proofErr w:type="gramEnd"/>
      <w:r w:rsidRPr="001A3D3D">
        <w:rPr>
          <w:szCs w:val="32"/>
        </w:rPr>
        <w:t>账，关键用水环节实行联动控制与优化管理，确保用水透明可控。</w:t>
      </w:r>
      <w:r>
        <w:rPr>
          <w:rFonts w:hint="eastAsia"/>
          <w:szCs w:val="32"/>
        </w:rPr>
        <w:t>Ⅱ</w:t>
      </w:r>
      <w:r w:rsidRPr="001A3D3D">
        <w:rPr>
          <w:szCs w:val="32"/>
        </w:rPr>
        <w:t>级基准值设置为具备锅炉系统总体取水统计或水费</w:t>
      </w:r>
      <w:r w:rsidRPr="001A3D3D">
        <w:rPr>
          <w:szCs w:val="32"/>
        </w:rPr>
        <w:t>/</w:t>
      </w:r>
      <w:r w:rsidRPr="001A3D3D">
        <w:rPr>
          <w:szCs w:val="32"/>
        </w:rPr>
        <w:t>抄表记录并建立基本</w:t>
      </w:r>
      <w:proofErr w:type="gramStart"/>
      <w:r w:rsidRPr="001A3D3D">
        <w:rPr>
          <w:szCs w:val="32"/>
        </w:rPr>
        <w:t>用水台</w:t>
      </w:r>
      <w:proofErr w:type="gramEnd"/>
      <w:r w:rsidRPr="001A3D3D">
        <w:rPr>
          <w:szCs w:val="32"/>
        </w:rPr>
        <w:t>账，能够对用水总量进行有效统计和管理。</w:t>
      </w:r>
      <w:r>
        <w:rPr>
          <w:rFonts w:hint="eastAsia"/>
          <w:szCs w:val="32"/>
        </w:rPr>
        <w:t>Ⅲ</w:t>
      </w:r>
      <w:r w:rsidRPr="001A3D3D">
        <w:rPr>
          <w:szCs w:val="32"/>
        </w:rPr>
        <w:t>级基准值设置为缺少明确的计量边界或仅能提供厂区整体用水量，缺少锅炉系统的连续</w:t>
      </w:r>
      <w:proofErr w:type="gramStart"/>
      <w:r w:rsidRPr="001A3D3D">
        <w:rPr>
          <w:szCs w:val="32"/>
        </w:rPr>
        <w:t>用水台</w:t>
      </w:r>
      <w:proofErr w:type="gramEnd"/>
      <w:r w:rsidRPr="001A3D3D">
        <w:rPr>
          <w:szCs w:val="32"/>
        </w:rPr>
        <w:t>账，节水管理较弱</w:t>
      </w:r>
      <w:r>
        <w:rPr>
          <w:rFonts w:hint="eastAsia"/>
          <w:szCs w:val="32"/>
        </w:rPr>
        <w:t>。</w:t>
      </w:r>
    </w:p>
    <w:p w14:paraId="11CA45F3" w14:textId="244C9124" w:rsidR="001A3D3D" w:rsidRPr="001A3D3D" w:rsidRDefault="001A3D3D" w:rsidP="00084192">
      <w:pPr>
        <w:autoSpaceDE w:val="0"/>
        <w:autoSpaceDN w:val="0"/>
        <w:adjustRightInd w:val="0"/>
        <w:spacing w:line="540" w:lineRule="exact"/>
        <w:ind w:firstLine="640"/>
        <w:rPr>
          <w:szCs w:val="32"/>
        </w:rPr>
      </w:pPr>
      <w:r w:rsidRPr="001A3D3D">
        <w:rPr>
          <w:szCs w:val="32"/>
        </w:rPr>
        <w:t>在取水性质方面，</w:t>
      </w:r>
      <w:r>
        <w:rPr>
          <w:rFonts w:hint="eastAsia"/>
          <w:szCs w:val="32"/>
        </w:rPr>
        <w:t>Ⅰ</w:t>
      </w:r>
      <w:r w:rsidRPr="001A3D3D">
        <w:rPr>
          <w:szCs w:val="32"/>
        </w:rPr>
        <w:t>级基准值规定配套设置锅炉给水软化、除盐或等效水处理设施，锅炉给水水质持续满足设计值或相关标准要求，并建立水质监测与运行管理措施，以支撑锅炉长期稳定运行。</w:t>
      </w:r>
      <w:r>
        <w:rPr>
          <w:rFonts w:hint="eastAsia"/>
          <w:szCs w:val="32"/>
        </w:rPr>
        <w:t>Ⅱ、Ⅲ</w:t>
      </w:r>
      <w:r w:rsidRPr="001A3D3D">
        <w:rPr>
          <w:szCs w:val="32"/>
        </w:rPr>
        <w:t>级基准值规定锅炉给水水质基本满足设计要求，但水处理措施和持续水质监测体系不完备。</w:t>
      </w:r>
    </w:p>
    <w:p w14:paraId="655DDC94" w14:textId="7BA0A88A" w:rsidR="00C6484A" w:rsidRPr="001A3D3D" w:rsidRDefault="001A3D3D" w:rsidP="00084192">
      <w:pPr>
        <w:autoSpaceDE w:val="0"/>
        <w:autoSpaceDN w:val="0"/>
        <w:adjustRightInd w:val="0"/>
        <w:spacing w:line="540" w:lineRule="exact"/>
        <w:ind w:firstLine="640"/>
        <w:rPr>
          <w:szCs w:val="32"/>
        </w:rPr>
      </w:pPr>
      <w:r w:rsidRPr="001A3D3D">
        <w:rPr>
          <w:szCs w:val="32"/>
        </w:rPr>
        <w:t>上述基准值设定综合考虑了锅炉系统用水计量与统筹管理的要求，强调从计量、台</w:t>
      </w:r>
      <w:proofErr w:type="gramStart"/>
      <w:r w:rsidRPr="001A3D3D">
        <w:rPr>
          <w:szCs w:val="32"/>
        </w:rPr>
        <w:t>账建立</w:t>
      </w:r>
      <w:proofErr w:type="gramEnd"/>
      <w:r w:rsidRPr="001A3D3D">
        <w:rPr>
          <w:szCs w:val="32"/>
        </w:rPr>
        <w:t>到水质控制的全过程管理，通过精准计量、统计与水处理措施的配置，有效提升生物质锅炉系统的节水绩效与资源利用效率，支撑清洁燃烧和绿色运行目标的实</w:t>
      </w:r>
      <w:r w:rsidRPr="001A3D3D">
        <w:rPr>
          <w:szCs w:val="32"/>
        </w:rPr>
        <w:lastRenderedPageBreak/>
        <w:t>现</w:t>
      </w:r>
    </w:p>
    <w:p w14:paraId="559E878B" w14:textId="2D22B831" w:rsidR="00445F8C" w:rsidRDefault="001A3D3D" w:rsidP="00084192">
      <w:pPr>
        <w:autoSpaceDE w:val="0"/>
        <w:autoSpaceDN w:val="0"/>
        <w:adjustRightInd w:val="0"/>
        <w:spacing w:line="540" w:lineRule="exact"/>
        <w:ind w:firstLine="640"/>
        <w:jc w:val="left"/>
        <w:rPr>
          <w:rFonts w:eastAsia="黑体"/>
          <w:szCs w:val="32"/>
        </w:rPr>
      </w:pPr>
      <w:r>
        <w:rPr>
          <w:rFonts w:eastAsia="黑体" w:hint="eastAsia"/>
          <w:szCs w:val="32"/>
        </w:rPr>
        <w:t>4</w:t>
      </w:r>
      <w:r>
        <w:rPr>
          <w:rFonts w:eastAsia="黑体"/>
          <w:szCs w:val="32"/>
        </w:rPr>
        <w:t>、</w:t>
      </w:r>
      <w:r w:rsidRPr="001A3D3D">
        <w:rPr>
          <w:rFonts w:eastAsia="黑体"/>
          <w:szCs w:val="32"/>
        </w:rPr>
        <w:t>综合利用率及可靠性</w:t>
      </w:r>
    </w:p>
    <w:p w14:paraId="4AC6C6F7" w14:textId="7688CFBB" w:rsidR="001A3D3D" w:rsidRDefault="001A3D3D" w:rsidP="00084192">
      <w:pPr>
        <w:autoSpaceDE w:val="0"/>
        <w:autoSpaceDN w:val="0"/>
        <w:adjustRightInd w:val="0"/>
        <w:spacing w:line="540" w:lineRule="exact"/>
        <w:ind w:firstLine="640"/>
      </w:pPr>
      <w:r w:rsidRPr="001A3D3D">
        <w:t>本标准</w:t>
      </w:r>
      <w:r w:rsidRPr="001A3D3D">
        <w:t>“</w:t>
      </w:r>
      <w:r w:rsidRPr="001A3D3D">
        <w:t>综合利用率及可靠性</w:t>
      </w:r>
      <w:r w:rsidRPr="001A3D3D">
        <w:t>”</w:t>
      </w:r>
      <w:r w:rsidRPr="001A3D3D">
        <w:t>作为一级指标，涵盖了再生水利用率、余热综合利用水平、燃料适应性与稳定运行保障能力、燃料相关非计划停运控制能力以及锅炉年检合格情况，依据相关标准及运行实践，设定了具体的基准值。</w:t>
      </w:r>
    </w:p>
    <w:p w14:paraId="6A2258D2" w14:textId="4664B961" w:rsidR="001A3D3D" w:rsidRPr="008017B1" w:rsidRDefault="008017B1" w:rsidP="00084192">
      <w:pPr>
        <w:autoSpaceDE w:val="0"/>
        <w:autoSpaceDN w:val="0"/>
        <w:adjustRightInd w:val="0"/>
        <w:spacing w:line="540" w:lineRule="exact"/>
        <w:ind w:firstLineChars="0" w:firstLine="0"/>
      </w:pPr>
      <w:r w:rsidRPr="008017B1">
        <w:t>在再生水利用率方面，</w:t>
      </w:r>
      <w:r>
        <w:rPr>
          <w:rFonts w:hint="eastAsia"/>
        </w:rPr>
        <w:t>参考《</w:t>
      </w:r>
      <w:r w:rsidRPr="008017B1">
        <w:rPr>
          <w:rFonts w:hint="eastAsia"/>
        </w:rPr>
        <w:t>节水型企业评价导则</w:t>
      </w:r>
      <w:r>
        <w:rPr>
          <w:rFonts w:hint="eastAsia"/>
        </w:rPr>
        <w:t>》</w:t>
      </w:r>
      <w:r w:rsidRPr="008017B1">
        <w:t>（</w:t>
      </w:r>
      <w:r w:rsidRPr="008017B1">
        <w:t>GB∕T 7119-2018</w:t>
      </w:r>
      <w:r w:rsidRPr="008017B1">
        <w:t>）</w:t>
      </w:r>
      <w:r>
        <w:rPr>
          <w:rFonts w:hint="eastAsia"/>
        </w:rPr>
        <w:t>和</w:t>
      </w:r>
      <w:r w:rsidRPr="008017B1">
        <w:rPr>
          <w:rFonts w:hint="eastAsia"/>
        </w:rPr>
        <w:t>《节约用水条例》</w:t>
      </w:r>
      <w:r>
        <w:rPr>
          <w:rFonts w:hint="eastAsia"/>
        </w:rPr>
        <w:t>，Ⅰ</w:t>
      </w:r>
      <w:r w:rsidRPr="008017B1">
        <w:t>级基准值要求再生水利用率</w:t>
      </w:r>
      <w:r w:rsidRPr="008017B1">
        <w:t>≥80%</w:t>
      </w:r>
      <w:r w:rsidRPr="008017B1">
        <w:t>，通过对水资源的高效回用实现节水目标；</w:t>
      </w:r>
      <w:r>
        <w:rPr>
          <w:rFonts w:hint="eastAsia"/>
        </w:rPr>
        <w:t>Ⅱ</w:t>
      </w:r>
      <w:r w:rsidRPr="008017B1">
        <w:t>级基准值要求再生水利用率</w:t>
      </w:r>
      <w:r w:rsidRPr="008017B1">
        <w:t>≥50%</w:t>
      </w:r>
      <w:r w:rsidRPr="008017B1">
        <w:t>，保证一定的水资源回收能力；</w:t>
      </w:r>
      <w:r>
        <w:rPr>
          <w:rFonts w:hint="eastAsia"/>
        </w:rPr>
        <w:t>Ⅲ</w:t>
      </w:r>
      <w:r w:rsidRPr="008017B1">
        <w:t>级基准值要求再生水利用率</w:t>
      </w:r>
      <w:r w:rsidRPr="008017B1">
        <w:t>≥30%</w:t>
      </w:r>
      <w:r w:rsidRPr="008017B1">
        <w:t>，为基础水平，适应初步的水资源回收需求。</w:t>
      </w:r>
    </w:p>
    <w:p w14:paraId="308AF49D" w14:textId="346F0F22" w:rsidR="008017B1" w:rsidRDefault="008017B1" w:rsidP="00084192">
      <w:pPr>
        <w:autoSpaceDE w:val="0"/>
        <w:autoSpaceDN w:val="0"/>
        <w:adjustRightInd w:val="0"/>
        <w:spacing w:line="540" w:lineRule="exact"/>
        <w:ind w:firstLine="640"/>
      </w:pPr>
      <w:r w:rsidRPr="008017B1">
        <w:t>在余热综合利用水平方面，</w:t>
      </w:r>
      <w:r>
        <w:rPr>
          <w:rFonts w:hint="eastAsia"/>
        </w:rPr>
        <w:t>Ⅰ</w:t>
      </w:r>
      <w:r w:rsidRPr="008017B1">
        <w:t>级基准值要求增设燃料干燥等烟气深度余热回收措施，确保余热资源的最大化利用；</w:t>
      </w:r>
      <w:r>
        <w:rPr>
          <w:rFonts w:hint="eastAsia"/>
        </w:rPr>
        <w:t>Ⅱ、Ⅲ</w:t>
      </w:r>
      <w:r w:rsidRPr="008017B1">
        <w:t>级基准值要求设置省煤器和</w:t>
      </w:r>
      <w:r w:rsidRPr="008017B1">
        <w:t>/</w:t>
      </w:r>
      <w:r w:rsidRPr="008017B1">
        <w:t>或</w:t>
      </w:r>
      <w:proofErr w:type="gramStart"/>
      <w:r w:rsidRPr="008017B1">
        <w:t>空气预热器等余热回收装置</w:t>
      </w:r>
      <w:proofErr w:type="gramEnd"/>
      <w:r w:rsidRPr="008017B1">
        <w:t>，优化热能利用效果。</w:t>
      </w:r>
    </w:p>
    <w:p w14:paraId="199A278C" w14:textId="5C892F0B" w:rsidR="00346982" w:rsidRDefault="00346982" w:rsidP="00084192">
      <w:pPr>
        <w:autoSpaceDE w:val="0"/>
        <w:autoSpaceDN w:val="0"/>
        <w:adjustRightInd w:val="0"/>
        <w:spacing w:line="540" w:lineRule="exact"/>
        <w:ind w:firstLine="640"/>
      </w:pPr>
      <w:r w:rsidRPr="00346982">
        <w:t>在燃料适应性与稳定运行保障能力方面，研究发现层燃锅炉对于燃料适应性较好。编制组对广西壮族自治区燃烧生物质成型燃料的锅炉进行了工业分析和元素分析，并与无烟煤进行了对比</w:t>
      </w:r>
      <w:r>
        <w:rPr>
          <w:rFonts w:hint="eastAsia"/>
        </w:rPr>
        <w:t>，如表</w:t>
      </w:r>
      <w:r>
        <w:rPr>
          <w:rFonts w:hint="eastAsia"/>
        </w:rPr>
        <w:t>7</w:t>
      </w:r>
      <w:r>
        <w:rPr>
          <w:rFonts w:hint="eastAsia"/>
        </w:rPr>
        <w:t>所示。</w:t>
      </w:r>
    </w:p>
    <w:p w14:paraId="2A75C602" w14:textId="5A4A68E3" w:rsidR="00346982" w:rsidRPr="00346982" w:rsidRDefault="00346982" w:rsidP="00084192">
      <w:pPr>
        <w:autoSpaceDE w:val="0"/>
        <w:autoSpaceDN w:val="0"/>
        <w:adjustRightInd w:val="0"/>
        <w:spacing w:line="540" w:lineRule="exact"/>
        <w:ind w:firstLineChars="0" w:firstLine="0"/>
        <w:jc w:val="center"/>
        <w:rPr>
          <w:sz w:val="28"/>
          <w:szCs w:val="28"/>
        </w:rPr>
      </w:pPr>
      <w:bookmarkStart w:id="5" w:name="_Toc25850"/>
      <w:r>
        <w:rPr>
          <w:sz w:val="28"/>
          <w:szCs w:val="28"/>
        </w:rPr>
        <w:t>表</w:t>
      </w:r>
      <w:r>
        <w:rPr>
          <w:rFonts w:hint="eastAsia"/>
          <w:sz w:val="28"/>
          <w:szCs w:val="28"/>
        </w:rPr>
        <w:t>7</w:t>
      </w:r>
      <w:r>
        <w:rPr>
          <w:sz w:val="28"/>
          <w:szCs w:val="28"/>
        </w:rPr>
        <w:t xml:space="preserve"> </w:t>
      </w:r>
      <w:r w:rsidRPr="00346982">
        <w:rPr>
          <w:sz w:val="28"/>
          <w:szCs w:val="28"/>
        </w:rPr>
        <w:t>生物质成型燃料的工业分析和元素分析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756"/>
        <w:gridCol w:w="824"/>
        <w:gridCol w:w="756"/>
        <w:gridCol w:w="809"/>
        <w:gridCol w:w="815"/>
        <w:gridCol w:w="739"/>
        <w:gridCol w:w="743"/>
        <w:gridCol w:w="820"/>
        <w:gridCol w:w="747"/>
        <w:gridCol w:w="1218"/>
      </w:tblGrid>
      <w:tr w:rsidR="00346982" w:rsidRPr="00346982" w14:paraId="13415E0C" w14:textId="77777777" w:rsidTr="00346982">
        <w:trPr>
          <w:trHeight w:val="467"/>
          <w:tblHeader/>
          <w:jc w:val="center"/>
        </w:trPr>
        <w:tc>
          <w:tcPr>
            <w:tcW w:w="516" w:type="pct"/>
            <w:vMerge w:val="restart"/>
            <w:tcBorders>
              <w:top w:val="single" w:sz="12" w:space="0" w:color="auto"/>
              <w:left w:val="nil"/>
              <w:bottom w:val="single" w:sz="8" w:space="0" w:color="auto"/>
              <w:right w:val="nil"/>
            </w:tcBorders>
            <w:vAlign w:val="center"/>
          </w:tcPr>
          <w:bookmarkEnd w:id="5"/>
          <w:p w14:paraId="745215D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样品</w:t>
            </w:r>
          </w:p>
        </w:tc>
        <w:tc>
          <w:tcPr>
            <w:tcW w:w="1714" w:type="pct"/>
            <w:gridSpan w:val="4"/>
            <w:tcBorders>
              <w:top w:val="single" w:sz="12" w:space="0" w:color="auto"/>
              <w:left w:val="nil"/>
              <w:bottom w:val="single" w:sz="8" w:space="0" w:color="auto"/>
              <w:right w:val="nil"/>
            </w:tcBorders>
            <w:vAlign w:val="center"/>
          </w:tcPr>
          <w:p w14:paraId="0C1C6D6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工业分析</w:t>
            </w:r>
            <w:r w:rsidRPr="00346982">
              <w:rPr>
                <w:snapToGrid w:val="0"/>
                <w:color w:val="000000"/>
                <w:kern w:val="0"/>
                <w:sz w:val="24"/>
              </w:rPr>
              <w:t>(wt.%)</w:t>
            </w:r>
          </w:p>
        </w:tc>
        <w:tc>
          <w:tcPr>
            <w:tcW w:w="2106" w:type="pct"/>
            <w:gridSpan w:val="5"/>
            <w:tcBorders>
              <w:top w:val="single" w:sz="12" w:space="0" w:color="auto"/>
              <w:left w:val="nil"/>
              <w:bottom w:val="single" w:sz="8" w:space="0" w:color="auto"/>
              <w:right w:val="nil"/>
            </w:tcBorders>
            <w:vAlign w:val="center"/>
          </w:tcPr>
          <w:p w14:paraId="399E37A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元素分析</w:t>
            </w:r>
            <w:r w:rsidRPr="00346982">
              <w:rPr>
                <w:snapToGrid w:val="0"/>
                <w:color w:val="000000"/>
                <w:kern w:val="0"/>
                <w:sz w:val="24"/>
              </w:rPr>
              <w:t>(wt.%)</w:t>
            </w:r>
          </w:p>
        </w:tc>
        <w:tc>
          <w:tcPr>
            <w:tcW w:w="664" w:type="pct"/>
            <w:vMerge w:val="restart"/>
            <w:tcBorders>
              <w:top w:val="single" w:sz="12" w:space="0" w:color="auto"/>
              <w:left w:val="nil"/>
              <w:bottom w:val="single" w:sz="8" w:space="0" w:color="auto"/>
              <w:right w:val="nil"/>
            </w:tcBorders>
            <w:vAlign w:val="center"/>
          </w:tcPr>
          <w:p w14:paraId="05CABC3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proofErr w:type="spellStart"/>
            <w:r w:rsidRPr="00346982">
              <w:rPr>
                <w:snapToGrid w:val="0"/>
                <w:color w:val="000000"/>
                <w:kern w:val="0"/>
                <w:sz w:val="24"/>
              </w:rPr>
              <w:t>Q</w:t>
            </w:r>
            <w:r w:rsidRPr="00346982">
              <w:rPr>
                <w:snapToGrid w:val="0"/>
                <w:color w:val="000000"/>
                <w:kern w:val="0"/>
                <w:sz w:val="24"/>
                <w:vertAlign w:val="subscript"/>
              </w:rPr>
              <w:t>net,ar</w:t>
            </w:r>
            <w:proofErr w:type="spellEnd"/>
          </w:p>
          <w:p w14:paraId="4DA3780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2"/>
                <w:szCs w:val="22"/>
              </w:rPr>
              <w:t>（</w:t>
            </w:r>
            <w:r w:rsidRPr="00346982">
              <w:rPr>
                <w:snapToGrid w:val="0"/>
                <w:color w:val="000000"/>
                <w:kern w:val="0"/>
                <w:sz w:val="22"/>
                <w:szCs w:val="22"/>
              </w:rPr>
              <w:t>MJ/kg</w:t>
            </w:r>
            <w:r w:rsidRPr="00346982">
              <w:rPr>
                <w:snapToGrid w:val="0"/>
                <w:color w:val="000000"/>
                <w:kern w:val="0"/>
                <w:sz w:val="22"/>
                <w:szCs w:val="22"/>
              </w:rPr>
              <w:t>）</w:t>
            </w:r>
          </w:p>
        </w:tc>
      </w:tr>
      <w:tr w:rsidR="00346982" w:rsidRPr="00346982" w14:paraId="2D48C2BE" w14:textId="77777777" w:rsidTr="00346982">
        <w:trPr>
          <w:trHeight w:val="617"/>
          <w:tblHeader/>
          <w:jc w:val="center"/>
        </w:trPr>
        <w:tc>
          <w:tcPr>
            <w:tcW w:w="516" w:type="pct"/>
            <w:vMerge/>
            <w:tcBorders>
              <w:top w:val="single" w:sz="8" w:space="0" w:color="auto"/>
              <w:left w:val="nil"/>
              <w:bottom w:val="single" w:sz="8" w:space="0" w:color="auto"/>
              <w:right w:val="nil"/>
            </w:tcBorders>
            <w:vAlign w:val="center"/>
          </w:tcPr>
          <w:p w14:paraId="4DC1A53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ascii="宋体" w:eastAsia="宋体" w:hAnsi="宋体" w:cs="宋体"/>
                <w:snapToGrid w:val="0"/>
                <w:color w:val="000000"/>
                <w:sz w:val="18"/>
                <w:szCs w:val="18"/>
              </w:rPr>
            </w:pPr>
          </w:p>
        </w:tc>
        <w:tc>
          <w:tcPr>
            <w:tcW w:w="412" w:type="pct"/>
            <w:tcBorders>
              <w:top w:val="single" w:sz="8" w:space="0" w:color="auto"/>
              <w:left w:val="nil"/>
              <w:bottom w:val="single" w:sz="8" w:space="0" w:color="auto"/>
              <w:right w:val="nil"/>
            </w:tcBorders>
            <w:vAlign w:val="center"/>
          </w:tcPr>
          <w:p w14:paraId="18ECD57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r w:rsidRPr="00346982">
              <w:rPr>
                <w:rFonts w:eastAsia="宋体" w:cs="宋体" w:hint="eastAsia"/>
                <w:snapToGrid w:val="0"/>
                <w:color w:val="000000"/>
                <w:kern w:val="0"/>
                <w:sz w:val="24"/>
              </w:rPr>
              <w:t>M</w:t>
            </w:r>
            <w:r w:rsidRPr="00346982">
              <w:rPr>
                <w:rFonts w:eastAsia="宋体" w:cs="宋体" w:hint="eastAsia"/>
                <w:snapToGrid w:val="0"/>
                <w:color w:val="000000"/>
                <w:kern w:val="0"/>
                <w:sz w:val="24"/>
                <w:vertAlign w:val="subscript"/>
              </w:rPr>
              <w:t>d</w:t>
            </w:r>
          </w:p>
        </w:tc>
        <w:tc>
          <w:tcPr>
            <w:tcW w:w="449" w:type="pct"/>
            <w:tcBorders>
              <w:top w:val="single" w:sz="8" w:space="0" w:color="auto"/>
              <w:left w:val="nil"/>
              <w:bottom w:val="single" w:sz="8" w:space="0" w:color="auto"/>
              <w:right w:val="nil"/>
            </w:tcBorders>
            <w:vAlign w:val="center"/>
          </w:tcPr>
          <w:p w14:paraId="50C570C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r w:rsidRPr="00346982">
              <w:rPr>
                <w:rFonts w:eastAsia="宋体" w:cs="宋体" w:hint="eastAsia"/>
                <w:snapToGrid w:val="0"/>
                <w:color w:val="000000"/>
                <w:kern w:val="0"/>
                <w:sz w:val="24"/>
              </w:rPr>
              <w:t>A</w:t>
            </w:r>
            <w:r w:rsidRPr="00346982">
              <w:rPr>
                <w:rFonts w:eastAsia="宋体" w:cs="宋体" w:hint="eastAsia"/>
                <w:snapToGrid w:val="0"/>
                <w:color w:val="000000"/>
                <w:kern w:val="0"/>
                <w:sz w:val="24"/>
                <w:vertAlign w:val="subscript"/>
              </w:rPr>
              <w:t>d</w:t>
            </w:r>
          </w:p>
        </w:tc>
        <w:tc>
          <w:tcPr>
            <w:tcW w:w="412" w:type="pct"/>
            <w:tcBorders>
              <w:top w:val="single" w:sz="8" w:space="0" w:color="auto"/>
              <w:left w:val="nil"/>
              <w:bottom w:val="single" w:sz="8" w:space="0" w:color="auto"/>
              <w:right w:val="nil"/>
            </w:tcBorders>
            <w:vAlign w:val="center"/>
          </w:tcPr>
          <w:p w14:paraId="4184272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V</w:t>
            </w:r>
            <w:r w:rsidRPr="00346982">
              <w:rPr>
                <w:rFonts w:eastAsia="宋体" w:cs="宋体" w:hint="eastAsia"/>
                <w:snapToGrid w:val="0"/>
                <w:color w:val="000000"/>
                <w:kern w:val="0"/>
                <w:sz w:val="24"/>
                <w:vertAlign w:val="subscript"/>
              </w:rPr>
              <w:t>d</w:t>
            </w:r>
            <w:proofErr w:type="spellEnd"/>
          </w:p>
        </w:tc>
        <w:tc>
          <w:tcPr>
            <w:tcW w:w="441" w:type="pct"/>
            <w:tcBorders>
              <w:top w:val="single" w:sz="8" w:space="0" w:color="auto"/>
              <w:left w:val="nil"/>
              <w:bottom w:val="single" w:sz="8" w:space="0" w:color="auto"/>
              <w:right w:val="nil"/>
            </w:tcBorders>
            <w:vAlign w:val="center"/>
          </w:tcPr>
          <w:p w14:paraId="05DF117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FC</w:t>
            </w:r>
            <w:r w:rsidRPr="00346982">
              <w:rPr>
                <w:rFonts w:eastAsia="宋体" w:cs="宋体" w:hint="eastAsia"/>
                <w:snapToGrid w:val="0"/>
                <w:color w:val="000000"/>
                <w:kern w:val="0"/>
                <w:sz w:val="24"/>
                <w:vertAlign w:val="subscript"/>
              </w:rPr>
              <w:t>d</w:t>
            </w:r>
            <w:proofErr w:type="spellEnd"/>
          </w:p>
        </w:tc>
        <w:tc>
          <w:tcPr>
            <w:tcW w:w="444" w:type="pct"/>
            <w:tcBorders>
              <w:top w:val="single" w:sz="8" w:space="0" w:color="auto"/>
              <w:left w:val="nil"/>
              <w:bottom w:val="single" w:sz="8" w:space="0" w:color="auto"/>
              <w:right w:val="nil"/>
            </w:tcBorders>
            <w:vAlign w:val="center"/>
          </w:tcPr>
          <w:p w14:paraId="59AD8CD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C</w:t>
            </w:r>
            <w:r w:rsidRPr="00346982">
              <w:rPr>
                <w:rFonts w:eastAsia="宋体" w:cs="宋体" w:hint="eastAsia"/>
                <w:snapToGrid w:val="0"/>
                <w:color w:val="000000"/>
                <w:kern w:val="0"/>
                <w:sz w:val="24"/>
                <w:vertAlign w:val="subscript"/>
              </w:rPr>
              <w:t>daf</w:t>
            </w:r>
            <w:proofErr w:type="spellEnd"/>
          </w:p>
        </w:tc>
        <w:tc>
          <w:tcPr>
            <w:tcW w:w="403" w:type="pct"/>
            <w:tcBorders>
              <w:top w:val="single" w:sz="8" w:space="0" w:color="auto"/>
              <w:left w:val="nil"/>
              <w:bottom w:val="single" w:sz="8" w:space="0" w:color="auto"/>
              <w:right w:val="nil"/>
            </w:tcBorders>
            <w:vAlign w:val="center"/>
          </w:tcPr>
          <w:p w14:paraId="720218E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H</w:t>
            </w:r>
            <w:r w:rsidRPr="00346982">
              <w:rPr>
                <w:rFonts w:eastAsia="宋体" w:cs="宋体" w:hint="eastAsia"/>
                <w:snapToGrid w:val="0"/>
                <w:color w:val="000000"/>
                <w:kern w:val="0"/>
                <w:sz w:val="24"/>
                <w:vertAlign w:val="subscript"/>
              </w:rPr>
              <w:t>daf</w:t>
            </w:r>
            <w:proofErr w:type="spellEnd"/>
          </w:p>
        </w:tc>
        <w:tc>
          <w:tcPr>
            <w:tcW w:w="405" w:type="pct"/>
            <w:tcBorders>
              <w:top w:val="single" w:sz="8" w:space="0" w:color="auto"/>
              <w:left w:val="nil"/>
              <w:bottom w:val="single" w:sz="8" w:space="0" w:color="auto"/>
              <w:right w:val="nil"/>
            </w:tcBorders>
            <w:vAlign w:val="center"/>
          </w:tcPr>
          <w:p w14:paraId="55826A9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N</w:t>
            </w:r>
            <w:r w:rsidRPr="00346982">
              <w:rPr>
                <w:rFonts w:eastAsia="宋体" w:cs="宋体" w:hint="eastAsia"/>
                <w:snapToGrid w:val="0"/>
                <w:color w:val="000000"/>
                <w:kern w:val="0"/>
                <w:sz w:val="24"/>
                <w:vertAlign w:val="subscript"/>
              </w:rPr>
              <w:t>daf</w:t>
            </w:r>
            <w:proofErr w:type="spellEnd"/>
          </w:p>
        </w:tc>
        <w:tc>
          <w:tcPr>
            <w:tcW w:w="447" w:type="pct"/>
            <w:tcBorders>
              <w:top w:val="single" w:sz="8" w:space="0" w:color="auto"/>
              <w:left w:val="nil"/>
              <w:bottom w:val="single" w:sz="8" w:space="0" w:color="auto"/>
              <w:right w:val="nil"/>
            </w:tcBorders>
            <w:vAlign w:val="center"/>
          </w:tcPr>
          <w:p w14:paraId="073F71A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O</w:t>
            </w:r>
            <w:r w:rsidRPr="00346982">
              <w:rPr>
                <w:rFonts w:eastAsia="宋体" w:cs="宋体" w:hint="eastAsia"/>
                <w:snapToGrid w:val="0"/>
                <w:color w:val="000000"/>
                <w:kern w:val="0"/>
                <w:sz w:val="24"/>
                <w:vertAlign w:val="subscript"/>
              </w:rPr>
              <w:t>daf</w:t>
            </w:r>
            <w:proofErr w:type="spellEnd"/>
          </w:p>
        </w:tc>
        <w:tc>
          <w:tcPr>
            <w:tcW w:w="407" w:type="pct"/>
            <w:tcBorders>
              <w:top w:val="single" w:sz="8" w:space="0" w:color="auto"/>
              <w:left w:val="nil"/>
              <w:bottom w:val="single" w:sz="8" w:space="0" w:color="auto"/>
              <w:right w:val="nil"/>
            </w:tcBorders>
            <w:vAlign w:val="center"/>
          </w:tcPr>
          <w:p w14:paraId="27F6FA5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cs="宋体"/>
                <w:snapToGrid w:val="0"/>
                <w:color w:val="000000"/>
                <w:kern w:val="0"/>
                <w:sz w:val="24"/>
              </w:rPr>
            </w:pPr>
            <w:proofErr w:type="spellStart"/>
            <w:r w:rsidRPr="00346982">
              <w:rPr>
                <w:rFonts w:eastAsia="宋体" w:cs="宋体" w:hint="eastAsia"/>
                <w:snapToGrid w:val="0"/>
                <w:color w:val="000000"/>
                <w:kern w:val="0"/>
                <w:sz w:val="24"/>
              </w:rPr>
              <w:t>S</w:t>
            </w:r>
            <w:r w:rsidRPr="00346982">
              <w:rPr>
                <w:rFonts w:eastAsia="宋体" w:cs="宋体" w:hint="eastAsia"/>
                <w:snapToGrid w:val="0"/>
                <w:color w:val="000000"/>
                <w:kern w:val="0"/>
                <w:sz w:val="24"/>
                <w:vertAlign w:val="subscript"/>
              </w:rPr>
              <w:t>daf</w:t>
            </w:r>
            <w:proofErr w:type="spellEnd"/>
          </w:p>
        </w:tc>
        <w:tc>
          <w:tcPr>
            <w:tcW w:w="664" w:type="pct"/>
            <w:vMerge/>
            <w:tcBorders>
              <w:top w:val="nil"/>
              <w:left w:val="nil"/>
              <w:bottom w:val="single" w:sz="8" w:space="0" w:color="auto"/>
              <w:right w:val="single" w:sz="4" w:space="0" w:color="auto"/>
            </w:tcBorders>
            <w:vAlign w:val="center"/>
          </w:tcPr>
          <w:p w14:paraId="48EFA99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ascii="宋体" w:eastAsia="宋体" w:hAnsi="宋体" w:cs="宋体"/>
                <w:snapToGrid w:val="0"/>
                <w:color w:val="000000"/>
                <w:sz w:val="18"/>
                <w:szCs w:val="18"/>
              </w:rPr>
            </w:pPr>
          </w:p>
        </w:tc>
      </w:tr>
      <w:tr w:rsidR="00346982" w:rsidRPr="00346982" w14:paraId="53740B4D" w14:textId="77777777" w:rsidTr="00346982">
        <w:trPr>
          <w:trHeight w:val="270"/>
          <w:jc w:val="center"/>
        </w:trPr>
        <w:tc>
          <w:tcPr>
            <w:tcW w:w="516" w:type="pct"/>
            <w:tcBorders>
              <w:top w:val="single" w:sz="8" w:space="0" w:color="auto"/>
              <w:left w:val="nil"/>
              <w:bottom w:val="nil"/>
              <w:right w:val="nil"/>
            </w:tcBorders>
            <w:vAlign w:val="center"/>
          </w:tcPr>
          <w:p w14:paraId="5B63CD2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w:t>
            </w:r>
          </w:p>
        </w:tc>
        <w:tc>
          <w:tcPr>
            <w:tcW w:w="412" w:type="pct"/>
            <w:tcBorders>
              <w:top w:val="single" w:sz="8" w:space="0" w:color="auto"/>
              <w:left w:val="nil"/>
              <w:bottom w:val="nil"/>
              <w:right w:val="nil"/>
            </w:tcBorders>
            <w:vAlign w:val="center"/>
          </w:tcPr>
          <w:p w14:paraId="1EC28B7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8.34</w:t>
            </w:r>
          </w:p>
        </w:tc>
        <w:tc>
          <w:tcPr>
            <w:tcW w:w="449" w:type="pct"/>
            <w:tcBorders>
              <w:top w:val="single" w:sz="8" w:space="0" w:color="auto"/>
              <w:left w:val="nil"/>
              <w:bottom w:val="nil"/>
              <w:right w:val="nil"/>
            </w:tcBorders>
            <w:vAlign w:val="center"/>
          </w:tcPr>
          <w:p w14:paraId="286C36F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2.80</w:t>
            </w:r>
          </w:p>
        </w:tc>
        <w:tc>
          <w:tcPr>
            <w:tcW w:w="412" w:type="pct"/>
            <w:tcBorders>
              <w:top w:val="single" w:sz="8" w:space="0" w:color="auto"/>
              <w:left w:val="nil"/>
              <w:bottom w:val="nil"/>
              <w:right w:val="nil"/>
            </w:tcBorders>
            <w:vAlign w:val="center"/>
          </w:tcPr>
          <w:p w14:paraId="5A8524B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72.01</w:t>
            </w:r>
          </w:p>
        </w:tc>
        <w:tc>
          <w:tcPr>
            <w:tcW w:w="441" w:type="pct"/>
            <w:tcBorders>
              <w:top w:val="single" w:sz="8" w:space="0" w:color="auto"/>
              <w:left w:val="nil"/>
              <w:bottom w:val="nil"/>
              <w:right w:val="nil"/>
            </w:tcBorders>
            <w:vAlign w:val="center"/>
          </w:tcPr>
          <w:p w14:paraId="40DED79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16.85</w:t>
            </w:r>
          </w:p>
        </w:tc>
        <w:tc>
          <w:tcPr>
            <w:tcW w:w="444" w:type="pct"/>
            <w:tcBorders>
              <w:top w:val="single" w:sz="8" w:space="0" w:color="auto"/>
              <w:left w:val="nil"/>
              <w:bottom w:val="nil"/>
              <w:right w:val="nil"/>
            </w:tcBorders>
            <w:vAlign w:val="center"/>
          </w:tcPr>
          <w:p w14:paraId="4001F53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45.01</w:t>
            </w:r>
          </w:p>
        </w:tc>
        <w:tc>
          <w:tcPr>
            <w:tcW w:w="403" w:type="pct"/>
            <w:tcBorders>
              <w:top w:val="single" w:sz="8" w:space="0" w:color="auto"/>
              <w:left w:val="nil"/>
              <w:bottom w:val="nil"/>
              <w:right w:val="nil"/>
            </w:tcBorders>
            <w:vAlign w:val="center"/>
          </w:tcPr>
          <w:p w14:paraId="26299A7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7.47</w:t>
            </w:r>
          </w:p>
        </w:tc>
        <w:tc>
          <w:tcPr>
            <w:tcW w:w="405" w:type="pct"/>
            <w:tcBorders>
              <w:top w:val="single" w:sz="8" w:space="0" w:color="auto"/>
              <w:left w:val="nil"/>
              <w:bottom w:val="nil"/>
              <w:right w:val="nil"/>
            </w:tcBorders>
            <w:vAlign w:val="center"/>
          </w:tcPr>
          <w:p w14:paraId="2516E23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1.68</w:t>
            </w:r>
          </w:p>
        </w:tc>
        <w:tc>
          <w:tcPr>
            <w:tcW w:w="447" w:type="pct"/>
            <w:tcBorders>
              <w:top w:val="single" w:sz="8" w:space="0" w:color="auto"/>
              <w:left w:val="nil"/>
              <w:bottom w:val="nil"/>
              <w:right w:val="nil"/>
            </w:tcBorders>
            <w:vAlign w:val="center"/>
          </w:tcPr>
          <w:p w14:paraId="79F1AA9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44.53</w:t>
            </w:r>
          </w:p>
        </w:tc>
        <w:tc>
          <w:tcPr>
            <w:tcW w:w="407" w:type="pct"/>
            <w:tcBorders>
              <w:top w:val="single" w:sz="8" w:space="0" w:color="auto"/>
              <w:left w:val="nil"/>
              <w:bottom w:val="nil"/>
              <w:right w:val="nil"/>
            </w:tcBorders>
            <w:vAlign w:val="center"/>
          </w:tcPr>
          <w:p w14:paraId="472AC67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0.20</w:t>
            </w:r>
          </w:p>
        </w:tc>
        <w:tc>
          <w:tcPr>
            <w:tcW w:w="664" w:type="pct"/>
            <w:tcBorders>
              <w:top w:val="single" w:sz="8" w:space="0" w:color="auto"/>
              <w:left w:val="nil"/>
              <w:bottom w:val="nil"/>
              <w:right w:val="nil"/>
            </w:tcBorders>
            <w:vAlign w:val="center"/>
          </w:tcPr>
          <w:p w14:paraId="4F0D7CA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17.91</w:t>
            </w:r>
          </w:p>
        </w:tc>
      </w:tr>
      <w:tr w:rsidR="00346982" w:rsidRPr="00346982" w14:paraId="3D76E92A" w14:textId="77777777" w:rsidTr="00346982">
        <w:trPr>
          <w:trHeight w:val="270"/>
          <w:jc w:val="center"/>
        </w:trPr>
        <w:tc>
          <w:tcPr>
            <w:tcW w:w="516" w:type="pct"/>
            <w:tcBorders>
              <w:top w:val="nil"/>
              <w:left w:val="nil"/>
              <w:bottom w:val="nil"/>
              <w:right w:val="nil"/>
            </w:tcBorders>
            <w:vAlign w:val="center"/>
          </w:tcPr>
          <w:p w14:paraId="25E273B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w:t>
            </w:r>
          </w:p>
        </w:tc>
        <w:tc>
          <w:tcPr>
            <w:tcW w:w="412" w:type="pct"/>
            <w:tcBorders>
              <w:top w:val="nil"/>
              <w:left w:val="nil"/>
              <w:bottom w:val="nil"/>
              <w:right w:val="nil"/>
            </w:tcBorders>
            <w:vAlign w:val="center"/>
          </w:tcPr>
          <w:p w14:paraId="7B7F3A0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6.58</w:t>
            </w:r>
          </w:p>
        </w:tc>
        <w:tc>
          <w:tcPr>
            <w:tcW w:w="449" w:type="pct"/>
            <w:tcBorders>
              <w:top w:val="nil"/>
              <w:left w:val="nil"/>
              <w:bottom w:val="nil"/>
              <w:right w:val="nil"/>
            </w:tcBorders>
            <w:vAlign w:val="center"/>
          </w:tcPr>
          <w:p w14:paraId="5AE12D7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0.81</w:t>
            </w:r>
          </w:p>
        </w:tc>
        <w:tc>
          <w:tcPr>
            <w:tcW w:w="412" w:type="pct"/>
            <w:tcBorders>
              <w:top w:val="nil"/>
              <w:left w:val="nil"/>
              <w:bottom w:val="nil"/>
              <w:right w:val="nil"/>
            </w:tcBorders>
            <w:vAlign w:val="center"/>
          </w:tcPr>
          <w:p w14:paraId="0B9A779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75.41</w:t>
            </w:r>
          </w:p>
        </w:tc>
        <w:tc>
          <w:tcPr>
            <w:tcW w:w="441" w:type="pct"/>
            <w:tcBorders>
              <w:top w:val="nil"/>
              <w:left w:val="nil"/>
              <w:bottom w:val="nil"/>
              <w:right w:val="nil"/>
            </w:tcBorders>
            <w:vAlign w:val="center"/>
          </w:tcPr>
          <w:p w14:paraId="3FE9ABC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17.20</w:t>
            </w:r>
          </w:p>
        </w:tc>
        <w:tc>
          <w:tcPr>
            <w:tcW w:w="444" w:type="pct"/>
            <w:tcBorders>
              <w:top w:val="nil"/>
              <w:left w:val="nil"/>
              <w:bottom w:val="nil"/>
              <w:right w:val="nil"/>
            </w:tcBorders>
            <w:vAlign w:val="center"/>
          </w:tcPr>
          <w:p w14:paraId="026FAA5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44.87</w:t>
            </w:r>
          </w:p>
        </w:tc>
        <w:tc>
          <w:tcPr>
            <w:tcW w:w="403" w:type="pct"/>
            <w:tcBorders>
              <w:top w:val="nil"/>
              <w:left w:val="nil"/>
              <w:bottom w:val="nil"/>
              <w:right w:val="nil"/>
            </w:tcBorders>
            <w:vAlign w:val="center"/>
          </w:tcPr>
          <w:p w14:paraId="10E5A1A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7.40</w:t>
            </w:r>
          </w:p>
        </w:tc>
        <w:tc>
          <w:tcPr>
            <w:tcW w:w="405" w:type="pct"/>
            <w:tcBorders>
              <w:top w:val="nil"/>
              <w:left w:val="nil"/>
              <w:bottom w:val="nil"/>
              <w:right w:val="nil"/>
            </w:tcBorders>
            <w:vAlign w:val="center"/>
          </w:tcPr>
          <w:p w14:paraId="5477F87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3.00</w:t>
            </w:r>
          </w:p>
        </w:tc>
        <w:tc>
          <w:tcPr>
            <w:tcW w:w="447" w:type="pct"/>
            <w:tcBorders>
              <w:top w:val="nil"/>
              <w:left w:val="nil"/>
              <w:bottom w:val="nil"/>
              <w:right w:val="nil"/>
            </w:tcBorders>
            <w:vAlign w:val="center"/>
          </w:tcPr>
          <w:p w14:paraId="1983A17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43.10</w:t>
            </w:r>
          </w:p>
        </w:tc>
        <w:tc>
          <w:tcPr>
            <w:tcW w:w="407" w:type="pct"/>
            <w:tcBorders>
              <w:top w:val="nil"/>
              <w:left w:val="nil"/>
              <w:bottom w:val="nil"/>
              <w:right w:val="nil"/>
            </w:tcBorders>
            <w:vAlign w:val="center"/>
          </w:tcPr>
          <w:p w14:paraId="69D5D02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0.23</w:t>
            </w:r>
          </w:p>
        </w:tc>
        <w:tc>
          <w:tcPr>
            <w:tcW w:w="664" w:type="pct"/>
            <w:tcBorders>
              <w:top w:val="nil"/>
              <w:left w:val="nil"/>
              <w:bottom w:val="nil"/>
              <w:right w:val="nil"/>
            </w:tcBorders>
            <w:vAlign w:val="center"/>
          </w:tcPr>
          <w:p w14:paraId="4A9E7EE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17.99</w:t>
            </w:r>
          </w:p>
        </w:tc>
      </w:tr>
      <w:tr w:rsidR="00346982" w:rsidRPr="00346982" w14:paraId="47434B03" w14:textId="77777777" w:rsidTr="00346982">
        <w:trPr>
          <w:trHeight w:val="270"/>
          <w:jc w:val="center"/>
        </w:trPr>
        <w:tc>
          <w:tcPr>
            <w:tcW w:w="516" w:type="pct"/>
            <w:tcBorders>
              <w:top w:val="nil"/>
              <w:left w:val="nil"/>
              <w:bottom w:val="nil"/>
              <w:right w:val="nil"/>
            </w:tcBorders>
            <w:vAlign w:val="center"/>
          </w:tcPr>
          <w:p w14:paraId="15DBBF2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w:t>
            </w:r>
          </w:p>
        </w:tc>
        <w:tc>
          <w:tcPr>
            <w:tcW w:w="412" w:type="pct"/>
            <w:tcBorders>
              <w:top w:val="nil"/>
              <w:left w:val="nil"/>
              <w:bottom w:val="nil"/>
              <w:right w:val="nil"/>
            </w:tcBorders>
            <w:vAlign w:val="center"/>
          </w:tcPr>
          <w:p w14:paraId="2A4145A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7.67</w:t>
            </w:r>
          </w:p>
        </w:tc>
        <w:tc>
          <w:tcPr>
            <w:tcW w:w="449" w:type="pct"/>
            <w:tcBorders>
              <w:top w:val="nil"/>
              <w:left w:val="nil"/>
              <w:bottom w:val="nil"/>
              <w:right w:val="nil"/>
            </w:tcBorders>
            <w:vAlign w:val="center"/>
          </w:tcPr>
          <w:p w14:paraId="25194B7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3.93</w:t>
            </w:r>
          </w:p>
        </w:tc>
        <w:tc>
          <w:tcPr>
            <w:tcW w:w="412" w:type="pct"/>
            <w:tcBorders>
              <w:top w:val="nil"/>
              <w:left w:val="nil"/>
              <w:bottom w:val="nil"/>
              <w:right w:val="nil"/>
            </w:tcBorders>
            <w:vAlign w:val="center"/>
          </w:tcPr>
          <w:p w14:paraId="5670F87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67.99</w:t>
            </w:r>
          </w:p>
        </w:tc>
        <w:tc>
          <w:tcPr>
            <w:tcW w:w="441" w:type="pct"/>
            <w:tcBorders>
              <w:top w:val="nil"/>
              <w:left w:val="nil"/>
              <w:bottom w:val="nil"/>
              <w:right w:val="nil"/>
            </w:tcBorders>
            <w:vAlign w:val="center"/>
          </w:tcPr>
          <w:p w14:paraId="46F9883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20.41</w:t>
            </w:r>
          </w:p>
        </w:tc>
        <w:tc>
          <w:tcPr>
            <w:tcW w:w="444" w:type="pct"/>
            <w:tcBorders>
              <w:top w:val="nil"/>
              <w:left w:val="nil"/>
              <w:bottom w:val="nil"/>
              <w:right w:val="nil"/>
            </w:tcBorders>
            <w:vAlign w:val="center"/>
          </w:tcPr>
          <w:p w14:paraId="6DEC41C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45.07</w:t>
            </w:r>
          </w:p>
        </w:tc>
        <w:tc>
          <w:tcPr>
            <w:tcW w:w="403" w:type="pct"/>
            <w:tcBorders>
              <w:top w:val="nil"/>
              <w:left w:val="nil"/>
              <w:bottom w:val="nil"/>
              <w:right w:val="nil"/>
            </w:tcBorders>
            <w:vAlign w:val="center"/>
          </w:tcPr>
          <w:p w14:paraId="1BA57E2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7.47</w:t>
            </w:r>
          </w:p>
        </w:tc>
        <w:tc>
          <w:tcPr>
            <w:tcW w:w="405" w:type="pct"/>
            <w:tcBorders>
              <w:top w:val="nil"/>
              <w:left w:val="nil"/>
              <w:bottom w:val="nil"/>
              <w:right w:val="nil"/>
            </w:tcBorders>
            <w:vAlign w:val="center"/>
          </w:tcPr>
          <w:p w14:paraId="36E4D9C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3.03</w:t>
            </w:r>
          </w:p>
        </w:tc>
        <w:tc>
          <w:tcPr>
            <w:tcW w:w="447" w:type="pct"/>
            <w:tcBorders>
              <w:top w:val="nil"/>
              <w:left w:val="nil"/>
              <w:bottom w:val="nil"/>
              <w:right w:val="nil"/>
            </w:tcBorders>
            <w:vAlign w:val="center"/>
          </w:tcPr>
          <w:p w14:paraId="0482C78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43.15</w:t>
            </w:r>
          </w:p>
        </w:tc>
        <w:tc>
          <w:tcPr>
            <w:tcW w:w="407" w:type="pct"/>
            <w:tcBorders>
              <w:top w:val="nil"/>
              <w:left w:val="nil"/>
              <w:bottom w:val="nil"/>
              <w:right w:val="nil"/>
            </w:tcBorders>
            <w:vAlign w:val="center"/>
          </w:tcPr>
          <w:p w14:paraId="282DA75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0.12</w:t>
            </w:r>
          </w:p>
        </w:tc>
        <w:tc>
          <w:tcPr>
            <w:tcW w:w="664" w:type="pct"/>
            <w:tcBorders>
              <w:top w:val="nil"/>
              <w:left w:val="nil"/>
              <w:bottom w:val="nil"/>
              <w:right w:val="nil"/>
            </w:tcBorders>
            <w:vAlign w:val="center"/>
          </w:tcPr>
          <w:p w14:paraId="7A7A776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18.09</w:t>
            </w:r>
          </w:p>
        </w:tc>
      </w:tr>
      <w:tr w:rsidR="00346982" w:rsidRPr="00346982" w14:paraId="28F7BFE9" w14:textId="77777777" w:rsidTr="00346982">
        <w:trPr>
          <w:trHeight w:val="278"/>
          <w:jc w:val="center"/>
        </w:trPr>
        <w:tc>
          <w:tcPr>
            <w:tcW w:w="516" w:type="pct"/>
            <w:tcBorders>
              <w:top w:val="nil"/>
              <w:left w:val="nil"/>
              <w:bottom w:val="nil"/>
              <w:right w:val="nil"/>
            </w:tcBorders>
            <w:vAlign w:val="center"/>
          </w:tcPr>
          <w:p w14:paraId="7BA18C8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w:t>
            </w:r>
          </w:p>
        </w:tc>
        <w:tc>
          <w:tcPr>
            <w:tcW w:w="412" w:type="pct"/>
            <w:tcBorders>
              <w:top w:val="nil"/>
              <w:left w:val="nil"/>
              <w:bottom w:val="nil"/>
              <w:right w:val="nil"/>
            </w:tcBorders>
            <w:vAlign w:val="center"/>
          </w:tcPr>
          <w:p w14:paraId="7F98FA1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8.97</w:t>
            </w:r>
          </w:p>
        </w:tc>
        <w:tc>
          <w:tcPr>
            <w:tcW w:w="449" w:type="pct"/>
            <w:tcBorders>
              <w:top w:val="nil"/>
              <w:left w:val="nil"/>
              <w:bottom w:val="nil"/>
              <w:right w:val="nil"/>
            </w:tcBorders>
            <w:vAlign w:val="center"/>
          </w:tcPr>
          <w:p w14:paraId="2ABF700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11.60</w:t>
            </w:r>
          </w:p>
        </w:tc>
        <w:tc>
          <w:tcPr>
            <w:tcW w:w="412" w:type="pct"/>
            <w:tcBorders>
              <w:top w:val="nil"/>
              <w:left w:val="nil"/>
              <w:bottom w:val="nil"/>
              <w:right w:val="nil"/>
            </w:tcBorders>
            <w:vAlign w:val="center"/>
          </w:tcPr>
          <w:p w14:paraId="0D3928B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66.81</w:t>
            </w:r>
          </w:p>
        </w:tc>
        <w:tc>
          <w:tcPr>
            <w:tcW w:w="441" w:type="pct"/>
            <w:tcBorders>
              <w:top w:val="nil"/>
              <w:left w:val="nil"/>
              <w:bottom w:val="nil"/>
              <w:right w:val="nil"/>
            </w:tcBorders>
            <w:vAlign w:val="center"/>
          </w:tcPr>
          <w:p w14:paraId="64DABC9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12.63</w:t>
            </w:r>
          </w:p>
        </w:tc>
        <w:tc>
          <w:tcPr>
            <w:tcW w:w="444" w:type="pct"/>
            <w:tcBorders>
              <w:top w:val="nil"/>
              <w:left w:val="nil"/>
              <w:bottom w:val="nil"/>
              <w:right w:val="nil"/>
            </w:tcBorders>
            <w:vAlign w:val="center"/>
          </w:tcPr>
          <w:p w14:paraId="368269E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42.59</w:t>
            </w:r>
          </w:p>
        </w:tc>
        <w:tc>
          <w:tcPr>
            <w:tcW w:w="403" w:type="pct"/>
            <w:tcBorders>
              <w:top w:val="nil"/>
              <w:left w:val="nil"/>
              <w:bottom w:val="nil"/>
              <w:right w:val="nil"/>
            </w:tcBorders>
            <w:vAlign w:val="center"/>
          </w:tcPr>
          <w:p w14:paraId="442512A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6.61</w:t>
            </w:r>
          </w:p>
        </w:tc>
        <w:tc>
          <w:tcPr>
            <w:tcW w:w="405" w:type="pct"/>
            <w:tcBorders>
              <w:top w:val="nil"/>
              <w:left w:val="nil"/>
              <w:bottom w:val="nil"/>
              <w:right w:val="nil"/>
            </w:tcBorders>
            <w:vAlign w:val="center"/>
          </w:tcPr>
          <w:p w14:paraId="5D49DE7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0.70</w:t>
            </w:r>
          </w:p>
        </w:tc>
        <w:tc>
          <w:tcPr>
            <w:tcW w:w="447" w:type="pct"/>
            <w:tcBorders>
              <w:top w:val="nil"/>
              <w:left w:val="nil"/>
              <w:bottom w:val="nil"/>
              <w:right w:val="nil"/>
            </w:tcBorders>
            <w:vAlign w:val="center"/>
          </w:tcPr>
          <w:p w14:paraId="75E986B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42.36</w:t>
            </w:r>
          </w:p>
        </w:tc>
        <w:tc>
          <w:tcPr>
            <w:tcW w:w="407" w:type="pct"/>
            <w:tcBorders>
              <w:top w:val="nil"/>
              <w:left w:val="nil"/>
              <w:bottom w:val="nil"/>
              <w:right w:val="nil"/>
            </w:tcBorders>
            <w:vAlign w:val="center"/>
          </w:tcPr>
          <w:p w14:paraId="1AE175B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0.10</w:t>
            </w:r>
          </w:p>
        </w:tc>
        <w:tc>
          <w:tcPr>
            <w:tcW w:w="664" w:type="pct"/>
            <w:tcBorders>
              <w:top w:val="nil"/>
              <w:left w:val="nil"/>
              <w:bottom w:val="nil"/>
              <w:right w:val="nil"/>
            </w:tcBorders>
            <w:vAlign w:val="center"/>
          </w:tcPr>
          <w:p w14:paraId="566CDA1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16.41</w:t>
            </w:r>
          </w:p>
        </w:tc>
      </w:tr>
      <w:tr w:rsidR="00346982" w:rsidRPr="00346982" w14:paraId="781353CA" w14:textId="77777777" w:rsidTr="00346982">
        <w:trPr>
          <w:trHeight w:val="270"/>
          <w:jc w:val="center"/>
        </w:trPr>
        <w:tc>
          <w:tcPr>
            <w:tcW w:w="516" w:type="pct"/>
            <w:tcBorders>
              <w:top w:val="nil"/>
              <w:left w:val="nil"/>
              <w:bottom w:val="nil"/>
              <w:right w:val="nil"/>
            </w:tcBorders>
            <w:vAlign w:val="center"/>
          </w:tcPr>
          <w:p w14:paraId="438A046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lastRenderedPageBreak/>
              <w:t>5</w:t>
            </w:r>
          </w:p>
        </w:tc>
        <w:tc>
          <w:tcPr>
            <w:tcW w:w="412" w:type="pct"/>
            <w:tcBorders>
              <w:top w:val="nil"/>
              <w:left w:val="nil"/>
              <w:bottom w:val="nil"/>
              <w:right w:val="nil"/>
            </w:tcBorders>
            <w:vAlign w:val="center"/>
          </w:tcPr>
          <w:p w14:paraId="20D84E3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7.68</w:t>
            </w:r>
          </w:p>
        </w:tc>
        <w:tc>
          <w:tcPr>
            <w:tcW w:w="449" w:type="pct"/>
            <w:tcBorders>
              <w:top w:val="nil"/>
              <w:left w:val="nil"/>
              <w:bottom w:val="nil"/>
              <w:right w:val="nil"/>
            </w:tcBorders>
            <w:vAlign w:val="center"/>
          </w:tcPr>
          <w:p w14:paraId="253E846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2.57</w:t>
            </w:r>
          </w:p>
        </w:tc>
        <w:tc>
          <w:tcPr>
            <w:tcW w:w="412" w:type="pct"/>
            <w:tcBorders>
              <w:top w:val="nil"/>
              <w:left w:val="nil"/>
              <w:bottom w:val="nil"/>
              <w:right w:val="nil"/>
            </w:tcBorders>
            <w:vAlign w:val="center"/>
          </w:tcPr>
          <w:p w14:paraId="6A6A422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74.66</w:t>
            </w:r>
          </w:p>
        </w:tc>
        <w:tc>
          <w:tcPr>
            <w:tcW w:w="441" w:type="pct"/>
            <w:tcBorders>
              <w:top w:val="nil"/>
              <w:left w:val="nil"/>
              <w:bottom w:val="nil"/>
              <w:right w:val="nil"/>
            </w:tcBorders>
            <w:vAlign w:val="center"/>
          </w:tcPr>
          <w:p w14:paraId="0977B63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15.08</w:t>
            </w:r>
          </w:p>
        </w:tc>
        <w:tc>
          <w:tcPr>
            <w:tcW w:w="444" w:type="pct"/>
            <w:tcBorders>
              <w:top w:val="nil"/>
              <w:left w:val="nil"/>
              <w:bottom w:val="nil"/>
              <w:right w:val="nil"/>
            </w:tcBorders>
            <w:vAlign w:val="center"/>
          </w:tcPr>
          <w:p w14:paraId="5097429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47.50</w:t>
            </w:r>
          </w:p>
        </w:tc>
        <w:tc>
          <w:tcPr>
            <w:tcW w:w="403" w:type="pct"/>
            <w:tcBorders>
              <w:top w:val="nil"/>
              <w:left w:val="nil"/>
              <w:bottom w:val="nil"/>
              <w:right w:val="nil"/>
            </w:tcBorders>
            <w:vAlign w:val="center"/>
          </w:tcPr>
          <w:p w14:paraId="55E25B1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7.53</w:t>
            </w:r>
          </w:p>
        </w:tc>
        <w:tc>
          <w:tcPr>
            <w:tcW w:w="405" w:type="pct"/>
            <w:tcBorders>
              <w:top w:val="nil"/>
              <w:left w:val="nil"/>
              <w:bottom w:val="nil"/>
              <w:right w:val="nil"/>
            </w:tcBorders>
            <w:vAlign w:val="center"/>
          </w:tcPr>
          <w:p w14:paraId="67CC8E9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0.31</w:t>
            </w:r>
          </w:p>
        </w:tc>
        <w:tc>
          <w:tcPr>
            <w:tcW w:w="447" w:type="pct"/>
            <w:tcBorders>
              <w:top w:val="nil"/>
              <w:left w:val="nil"/>
              <w:bottom w:val="nil"/>
              <w:right w:val="nil"/>
            </w:tcBorders>
            <w:vAlign w:val="center"/>
          </w:tcPr>
          <w:p w14:paraId="2D86200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43.28</w:t>
            </w:r>
          </w:p>
        </w:tc>
        <w:tc>
          <w:tcPr>
            <w:tcW w:w="407" w:type="pct"/>
            <w:tcBorders>
              <w:top w:val="nil"/>
              <w:left w:val="nil"/>
              <w:bottom w:val="nil"/>
              <w:right w:val="nil"/>
            </w:tcBorders>
            <w:vAlign w:val="center"/>
          </w:tcPr>
          <w:p w14:paraId="0D876DB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0.07</w:t>
            </w:r>
          </w:p>
        </w:tc>
        <w:tc>
          <w:tcPr>
            <w:tcW w:w="664" w:type="pct"/>
            <w:tcBorders>
              <w:top w:val="nil"/>
              <w:left w:val="nil"/>
              <w:bottom w:val="nil"/>
              <w:right w:val="nil"/>
            </w:tcBorders>
            <w:vAlign w:val="center"/>
          </w:tcPr>
          <w:p w14:paraId="1F8979D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18.96</w:t>
            </w:r>
          </w:p>
        </w:tc>
      </w:tr>
      <w:tr w:rsidR="00346982" w:rsidRPr="00346982" w14:paraId="3AA9CC9D" w14:textId="77777777" w:rsidTr="00346982">
        <w:trPr>
          <w:trHeight w:val="270"/>
          <w:jc w:val="center"/>
        </w:trPr>
        <w:tc>
          <w:tcPr>
            <w:tcW w:w="516" w:type="pct"/>
            <w:tcBorders>
              <w:top w:val="nil"/>
              <w:left w:val="nil"/>
              <w:bottom w:val="nil"/>
              <w:right w:val="nil"/>
            </w:tcBorders>
            <w:vAlign w:val="center"/>
          </w:tcPr>
          <w:p w14:paraId="188258C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w:t>
            </w:r>
          </w:p>
        </w:tc>
        <w:tc>
          <w:tcPr>
            <w:tcW w:w="412" w:type="pct"/>
            <w:tcBorders>
              <w:top w:val="nil"/>
              <w:left w:val="nil"/>
              <w:bottom w:val="nil"/>
              <w:right w:val="nil"/>
            </w:tcBorders>
            <w:vAlign w:val="center"/>
          </w:tcPr>
          <w:p w14:paraId="5B95AA6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6.74</w:t>
            </w:r>
          </w:p>
        </w:tc>
        <w:tc>
          <w:tcPr>
            <w:tcW w:w="449" w:type="pct"/>
            <w:tcBorders>
              <w:top w:val="nil"/>
              <w:left w:val="nil"/>
              <w:bottom w:val="nil"/>
              <w:right w:val="nil"/>
            </w:tcBorders>
            <w:vAlign w:val="center"/>
          </w:tcPr>
          <w:p w14:paraId="17B6396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2.63</w:t>
            </w:r>
          </w:p>
        </w:tc>
        <w:tc>
          <w:tcPr>
            <w:tcW w:w="412" w:type="pct"/>
            <w:tcBorders>
              <w:top w:val="nil"/>
              <w:left w:val="nil"/>
              <w:bottom w:val="nil"/>
              <w:right w:val="nil"/>
            </w:tcBorders>
            <w:vAlign w:val="center"/>
          </w:tcPr>
          <w:p w14:paraId="44C43EE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72.69</w:t>
            </w:r>
          </w:p>
        </w:tc>
        <w:tc>
          <w:tcPr>
            <w:tcW w:w="441" w:type="pct"/>
            <w:tcBorders>
              <w:top w:val="nil"/>
              <w:left w:val="nil"/>
              <w:bottom w:val="nil"/>
              <w:right w:val="nil"/>
            </w:tcBorders>
            <w:vAlign w:val="center"/>
          </w:tcPr>
          <w:p w14:paraId="37AD85F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17.94</w:t>
            </w:r>
          </w:p>
        </w:tc>
        <w:tc>
          <w:tcPr>
            <w:tcW w:w="444" w:type="pct"/>
            <w:tcBorders>
              <w:top w:val="nil"/>
              <w:left w:val="nil"/>
              <w:bottom w:val="nil"/>
              <w:right w:val="nil"/>
            </w:tcBorders>
            <w:vAlign w:val="center"/>
          </w:tcPr>
          <w:p w14:paraId="16F87BF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44.89</w:t>
            </w:r>
          </w:p>
        </w:tc>
        <w:tc>
          <w:tcPr>
            <w:tcW w:w="403" w:type="pct"/>
            <w:tcBorders>
              <w:top w:val="nil"/>
              <w:left w:val="nil"/>
              <w:bottom w:val="nil"/>
              <w:right w:val="nil"/>
            </w:tcBorders>
            <w:vAlign w:val="center"/>
          </w:tcPr>
          <w:p w14:paraId="55B79D0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7.33</w:t>
            </w:r>
          </w:p>
        </w:tc>
        <w:tc>
          <w:tcPr>
            <w:tcW w:w="405" w:type="pct"/>
            <w:tcBorders>
              <w:top w:val="nil"/>
              <w:left w:val="nil"/>
              <w:bottom w:val="nil"/>
              <w:right w:val="nil"/>
            </w:tcBorders>
            <w:vAlign w:val="center"/>
          </w:tcPr>
          <w:p w14:paraId="000FCC2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4.22</w:t>
            </w:r>
          </w:p>
        </w:tc>
        <w:tc>
          <w:tcPr>
            <w:tcW w:w="447" w:type="pct"/>
            <w:tcBorders>
              <w:top w:val="nil"/>
              <w:left w:val="nil"/>
              <w:bottom w:val="nil"/>
              <w:right w:val="nil"/>
            </w:tcBorders>
            <w:vAlign w:val="center"/>
          </w:tcPr>
          <w:p w14:paraId="7918510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42.56</w:t>
            </w:r>
          </w:p>
        </w:tc>
        <w:tc>
          <w:tcPr>
            <w:tcW w:w="407" w:type="pct"/>
            <w:tcBorders>
              <w:top w:val="nil"/>
              <w:left w:val="nil"/>
              <w:bottom w:val="nil"/>
              <w:right w:val="nil"/>
            </w:tcBorders>
            <w:vAlign w:val="center"/>
          </w:tcPr>
          <w:p w14:paraId="34EA723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0.21</w:t>
            </w:r>
          </w:p>
        </w:tc>
        <w:tc>
          <w:tcPr>
            <w:tcW w:w="664" w:type="pct"/>
            <w:tcBorders>
              <w:top w:val="nil"/>
              <w:left w:val="nil"/>
              <w:bottom w:val="nil"/>
              <w:right w:val="nil"/>
            </w:tcBorders>
            <w:vAlign w:val="center"/>
          </w:tcPr>
          <w:p w14:paraId="212C46E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17.98</w:t>
            </w:r>
          </w:p>
        </w:tc>
      </w:tr>
      <w:tr w:rsidR="00346982" w:rsidRPr="00346982" w14:paraId="53840C69" w14:textId="77777777" w:rsidTr="00346982">
        <w:trPr>
          <w:trHeight w:val="270"/>
          <w:jc w:val="center"/>
        </w:trPr>
        <w:tc>
          <w:tcPr>
            <w:tcW w:w="516" w:type="pct"/>
            <w:tcBorders>
              <w:top w:val="nil"/>
              <w:left w:val="nil"/>
              <w:bottom w:val="nil"/>
              <w:right w:val="nil"/>
            </w:tcBorders>
            <w:vAlign w:val="center"/>
          </w:tcPr>
          <w:p w14:paraId="1F1B66B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w:t>
            </w:r>
          </w:p>
        </w:tc>
        <w:tc>
          <w:tcPr>
            <w:tcW w:w="412" w:type="pct"/>
            <w:tcBorders>
              <w:top w:val="nil"/>
              <w:left w:val="nil"/>
              <w:bottom w:val="nil"/>
              <w:right w:val="nil"/>
            </w:tcBorders>
            <w:vAlign w:val="center"/>
          </w:tcPr>
          <w:p w14:paraId="793F955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7.28</w:t>
            </w:r>
          </w:p>
        </w:tc>
        <w:tc>
          <w:tcPr>
            <w:tcW w:w="449" w:type="pct"/>
            <w:tcBorders>
              <w:top w:val="nil"/>
              <w:left w:val="nil"/>
              <w:bottom w:val="nil"/>
              <w:right w:val="nil"/>
            </w:tcBorders>
            <w:vAlign w:val="center"/>
          </w:tcPr>
          <w:p w14:paraId="1750891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9.33</w:t>
            </w:r>
          </w:p>
        </w:tc>
        <w:tc>
          <w:tcPr>
            <w:tcW w:w="412" w:type="pct"/>
            <w:tcBorders>
              <w:top w:val="nil"/>
              <w:left w:val="nil"/>
              <w:bottom w:val="nil"/>
              <w:right w:val="nil"/>
            </w:tcBorders>
            <w:vAlign w:val="center"/>
          </w:tcPr>
          <w:p w14:paraId="07A8F00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79.28</w:t>
            </w:r>
          </w:p>
        </w:tc>
        <w:tc>
          <w:tcPr>
            <w:tcW w:w="441" w:type="pct"/>
            <w:tcBorders>
              <w:top w:val="nil"/>
              <w:left w:val="nil"/>
              <w:bottom w:val="nil"/>
              <w:right w:val="nil"/>
            </w:tcBorders>
            <w:vAlign w:val="center"/>
          </w:tcPr>
          <w:p w14:paraId="770D3C3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4.11</w:t>
            </w:r>
          </w:p>
        </w:tc>
        <w:tc>
          <w:tcPr>
            <w:tcW w:w="444" w:type="pct"/>
            <w:tcBorders>
              <w:top w:val="nil"/>
              <w:left w:val="nil"/>
              <w:bottom w:val="nil"/>
              <w:right w:val="nil"/>
            </w:tcBorders>
            <w:vAlign w:val="center"/>
          </w:tcPr>
          <w:p w14:paraId="51CC1DF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46.97</w:t>
            </w:r>
          </w:p>
        </w:tc>
        <w:tc>
          <w:tcPr>
            <w:tcW w:w="403" w:type="pct"/>
            <w:tcBorders>
              <w:top w:val="nil"/>
              <w:left w:val="nil"/>
              <w:bottom w:val="nil"/>
              <w:right w:val="nil"/>
            </w:tcBorders>
            <w:vAlign w:val="center"/>
          </w:tcPr>
          <w:p w14:paraId="1EA65CA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7.35</w:t>
            </w:r>
          </w:p>
        </w:tc>
        <w:tc>
          <w:tcPr>
            <w:tcW w:w="405" w:type="pct"/>
            <w:tcBorders>
              <w:top w:val="nil"/>
              <w:left w:val="nil"/>
              <w:bottom w:val="nil"/>
              <w:right w:val="nil"/>
            </w:tcBorders>
            <w:vAlign w:val="center"/>
          </w:tcPr>
          <w:p w14:paraId="6F3E51C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0.34</w:t>
            </w:r>
          </w:p>
        </w:tc>
        <w:tc>
          <w:tcPr>
            <w:tcW w:w="447" w:type="pct"/>
            <w:tcBorders>
              <w:top w:val="nil"/>
              <w:left w:val="nil"/>
              <w:bottom w:val="nil"/>
              <w:right w:val="nil"/>
            </w:tcBorders>
            <w:vAlign w:val="center"/>
          </w:tcPr>
          <w:p w14:paraId="44D445F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42.02</w:t>
            </w:r>
          </w:p>
        </w:tc>
        <w:tc>
          <w:tcPr>
            <w:tcW w:w="407" w:type="pct"/>
            <w:tcBorders>
              <w:top w:val="nil"/>
              <w:left w:val="nil"/>
              <w:bottom w:val="nil"/>
              <w:right w:val="nil"/>
            </w:tcBorders>
            <w:vAlign w:val="center"/>
          </w:tcPr>
          <w:p w14:paraId="1E8BF1C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0.10</w:t>
            </w:r>
          </w:p>
        </w:tc>
        <w:tc>
          <w:tcPr>
            <w:tcW w:w="664" w:type="pct"/>
            <w:tcBorders>
              <w:top w:val="nil"/>
              <w:left w:val="nil"/>
              <w:bottom w:val="nil"/>
              <w:right w:val="nil"/>
            </w:tcBorders>
            <w:vAlign w:val="center"/>
          </w:tcPr>
          <w:p w14:paraId="79C69D0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18.74</w:t>
            </w:r>
          </w:p>
        </w:tc>
      </w:tr>
      <w:tr w:rsidR="00346982" w:rsidRPr="00346982" w14:paraId="07AF182A" w14:textId="77777777" w:rsidTr="00346982">
        <w:trPr>
          <w:trHeight w:val="270"/>
          <w:jc w:val="center"/>
        </w:trPr>
        <w:tc>
          <w:tcPr>
            <w:tcW w:w="516" w:type="pct"/>
            <w:tcBorders>
              <w:top w:val="nil"/>
              <w:left w:val="nil"/>
              <w:bottom w:val="nil"/>
              <w:right w:val="nil"/>
            </w:tcBorders>
            <w:vAlign w:val="center"/>
          </w:tcPr>
          <w:p w14:paraId="0BDCE86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8</w:t>
            </w:r>
          </w:p>
        </w:tc>
        <w:tc>
          <w:tcPr>
            <w:tcW w:w="412" w:type="pct"/>
            <w:tcBorders>
              <w:top w:val="nil"/>
              <w:left w:val="nil"/>
              <w:bottom w:val="nil"/>
              <w:right w:val="nil"/>
            </w:tcBorders>
            <w:vAlign w:val="center"/>
          </w:tcPr>
          <w:p w14:paraId="34CC32C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6.05</w:t>
            </w:r>
          </w:p>
        </w:tc>
        <w:tc>
          <w:tcPr>
            <w:tcW w:w="449" w:type="pct"/>
            <w:tcBorders>
              <w:top w:val="nil"/>
              <w:left w:val="nil"/>
              <w:bottom w:val="nil"/>
              <w:right w:val="nil"/>
            </w:tcBorders>
            <w:vAlign w:val="center"/>
          </w:tcPr>
          <w:p w14:paraId="18C4A5B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5.58</w:t>
            </w:r>
          </w:p>
        </w:tc>
        <w:tc>
          <w:tcPr>
            <w:tcW w:w="412" w:type="pct"/>
            <w:tcBorders>
              <w:top w:val="nil"/>
              <w:left w:val="nil"/>
              <w:bottom w:val="nil"/>
              <w:right w:val="nil"/>
            </w:tcBorders>
            <w:vAlign w:val="center"/>
          </w:tcPr>
          <w:p w14:paraId="4B16BB9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69.50</w:t>
            </w:r>
          </w:p>
        </w:tc>
        <w:tc>
          <w:tcPr>
            <w:tcW w:w="441" w:type="pct"/>
            <w:tcBorders>
              <w:top w:val="nil"/>
              <w:left w:val="nil"/>
              <w:bottom w:val="nil"/>
              <w:right w:val="nil"/>
            </w:tcBorders>
            <w:vAlign w:val="center"/>
          </w:tcPr>
          <w:p w14:paraId="4226923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18.88</w:t>
            </w:r>
          </w:p>
        </w:tc>
        <w:tc>
          <w:tcPr>
            <w:tcW w:w="444" w:type="pct"/>
            <w:tcBorders>
              <w:top w:val="nil"/>
              <w:left w:val="nil"/>
              <w:bottom w:val="nil"/>
              <w:right w:val="nil"/>
            </w:tcBorders>
            <w:vAlign w:val="center"/>
          </w:tcPr>
          <w:p w14:paraId="5CC3974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43.44</w:t>
            </w:r>
          </w:p>
        </w:tc>
        <w:tc>
          <w:tcPr>
            <w:tcW w:w="403" w:type="pct"/>
            <w:tcBorders>
              <w:top w:val="nil"/>
              <w:left w:val="nil"/>
              <w:bottom w:val="nil"/>
              <w:right w:val="nil"/>
            </w:tcBorders>
            <w:vAlign w:val="center"/>
          </w:tcPr>
          <w:p w14:paraId="568F561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7.26</w:t>
            </w:r>
          </w:p>
        </w:tc>
        <w:tc>
          <w:tcPr>
            <w:tcW w:w="405" w:type="pct"/>
            <w:tcBorders>
              <w:top w:val="nil"/>
              <w:left w:val="nil"/>
              <w:bottom w:val="nil"/>
              <w:right w:val="nil"/>
            </w:tcBorders>
            <w:vAlign w:val="center"/>
          </w:tcPr>
          <w:p w14:paraId="53E654E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3.39</w:t>
            </w:r>
          </w:p>
        </w:tc>
        <w:tc>
          <w:tcPr>
            <w:tcW w:w="447" w:type="pct"/>
            <w:tcBorders>
              <w:top w:val="nil"/>
              <w:left w:val="nil"/>
              <w:bottom w:val="nil"/>
              <w:right w:val="nil"/>
            </w:tcBorders>
            <w:vAlign w:val="center"/>
          </w:tcPr>
          <w:p w14:paraId="4654ADC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43.58</w:t>
            </w:r>
          </w:p>
        </w:tc>
        <w:tc>
          <w:tcPr>
            <w:tcW w:w="407" w:type="pct"/>
            <w:tcBorders>
              <w:top w:val="nil"/>
              <w:left w:val="nil"/>
              <w:bottom w:val="nil"/>
              <w:right w:val="nil"/>
            </w:tcBorders>
            <w:vAlign w:val="center"/>
          </w:tcPr>
          <w:p w14:paraId="399BDFD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0.08</w:t>
            </w:r>
          </w:p>
        </w:tc>
        <w:tc>
          <w:tcPr>
            <w:tcW w:w="664" w:type="pct"/>
            <w:tcBorders>
              <w:top w:val="nil"/>
              <w:left w:val="nil"/>
              <w:bottom w:val="nil"/>
              <w:right w:val="nil"/>
            </w:tcBorders>
            <w:vAlign w:val="center"/>
          </w:tcPr>
          <w:p w14:paraId="2BE83E6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17.31</w:t>
            </w:r>
          </w:p>
        </w:tc>
      </w:tr>
      <w:tr w:rsidR="00346982" w:rsidRPr="00346982" w14:paraId="7E880E56" w14:textId="77777777" w:rsidTr="00346982">
        <w:trPr>
          <w:trHeight w:val="278"/>
          <w:jc w:val="center"/>
        </w:trPr>
        <w:tc>
          <w:tcPr>
            <w:tcW w:w="516" w:type="pct"/>
            <w:tcBorders>
              <w:top w:val="nil"/>
              <w:left w:val="nil"/>
              <w:bottom w:val="nil"/>
              <w:right w:val="nil"/>
            </w:tcBorders>
            <w:vAlign w:val="center"/>
          </w:tcPr>
          <w:p w14:paraId="633ECAD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w:t>
            </w:r>
          </w:p>
        </w:tc>
        <w:tc>
          <w:tcPr>
            <w:tcW w:w="412" w:type="pct"/>
            <w:tcBorders>
              <w:top w:val="nil"/>
              <w:left w:val="nil"/>
              <w:bottom w:val="nil"/>
              <w:right w:val="nil"/>
            </w:tcBorders>
            <w:vAlign w:val="center"/>
          </w:tcPr>
          <w:p w14:paraId="7AF7794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6.95</w:t>
            </w:r>
          </w:p>
        </w:tc>
        <w:tc>
          <w:tcPr>
            <w:tcW w:w="449" w:type="pct"/>
            <w:tcBorders>
              <w:top w:val="nil"/>
              <w:left w:val="nil"/>
              <w:bottom w:val="nil"/>
              <w:right w:val="nil"/>
            </w:tcBorders>
            <w:vAlign w:val="center"/>
          </w:tcPr>
          <w:p w14:paraId="02F5AD2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3.90</w:t>
            </w:r>
          </w:p>
        </w:tc>
        <w:tc>
          <w:tcPr>
            <w:tcW w:w="412" w:type="pct"/>
            <w:tcBorders>
              <w:top w:val="nil"/>
              <w:left w:val="nil"/>
              <w:bottom w:val="nil"/>
              <w:right w:val="nil"/>
            </w:tcBorders>
            <w:vAlign w:val="center"/>
          </w:tcPr>
          <w:p w14:paraId="2601A3B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72.35</w:t>
            </w:r>
          </w:p>
        </w:tc>
        <w:tc>
          <w:tcPr>
            <w:tcW w:w="441" w:type="pct"/>
            <w:tcBorders>
              <w:top w:val="nil"/>
              <w:left w:val="nil"/>
              <w:bottom w:val="nil"/>
              <w:right w:val="nil"/>
            </w:tcBorders>
            <w:vAlign w:val="center"/>
          </w:tcPr>
          <w:p w14:paraId="27F178F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16.80</w:t>
            </w:r>
          </w:p>
        </w:tc>
        <w:tc>
          <w:tcPr>
            <w:tcW w:w="444" w:type="pct"/>
            <w:tcBorders>
              <w:top w:val="nil"/>
              <w:left w:val="nil"/>
              <w:bottom w:val="nil"/>
              <w:right w:val="nil"/>
            </w:tcBorders>
            <w:vAlign w:val="center"/>
          </w:tcPr>
          <w:p w14:paraId="75B9BCD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47.10</w:t>
            </w:r>
          </w:p>
        </w:tc>
        <w:tc>
          <w:tcPr>
            <w:tcW w:w="403" w:type="pct"/>
            <w:tcBorders>
              <w:top w:val="nil"/>
              <w:left w:val="nil"/>
              <w:bottom w:val="nil"/>
              <w:right w:val="nil"/>
            </w:tcBorders>
            <w:vAlign w:val="center"/>
          </w:tcPr>
          <w:p w14:paraId="718F927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6.92</w:t>
            </w:r>
          </w:p>
        </w:tc>
        <w:tc>
          <w:tcPr>
            <w:tcW w:w="405" w:type="pct"/>
            <w:tcBorders>
              <w:top w:val="nil"/>
              <w:left w:val="nil"/>
              <w:bottom w:val="nil"/>
              <w:right w:val="nil"/>
            </w:tcBorders>
            <w:vAlign w:val="center"/>
          </w:tcPr>
          <w:p w14:paraId="2BF40A1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0.30</w:t>
            </w:r>
          </w:p>
        </w:tc>
        <w:tc>
          <w:tcPr>
            <w:tcW w:w="447" w:type="pct"/>
            <w:tcBorders>
              <w:top w:val="nil"/>
              <w:left w:val="nil"/>
              <w:bottom w:val="nil"/>
              <w:right w:val="nil"/>
            </w:tcBorders>
            <w:vAlign w:val="center"/>
          </w:tcPr>
          <w:p w14:paraId="4C34339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43.43</w:t>
            </w:r>
          </w:p>
        </w:tc>
        <w:tc>
          <w:tcPr>
            <w:tcW w:w="407" w:type="pct"/>
            <w:tcBorders>
              <w:top w:val="nil"/>
              <w:left w:val="nil"/>
              <w:bottom w:val="nil"/>
              <w:right w:val="nil"/>
            </w:tcBorders>
            <w:vAlign w:val="center"/>
          </w:tcPr>
          <w:p w14:paraId="09AB8E1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0.11</w:t>
            </w:r>
          </w:p>
        </w:tc>
        <w:tc>
          <w:tcPr>
            <w:tcW w:w="664" w:type="pct"/>
            <w:tcBorders>
              <w:top w:val="nil"/>
              <w:left w:val="nil"/>
              <w:bottom w:val="nil"/>
              <w:right w:val="nil"/>
            </w:tcBorders>
            <w:vAlign w:val="center"/>
          </w:tcPr>
          <w:p w14:paraId="157682E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18.20</w:t>
            </w:r>
          </w:p>
        </w:tc>
      </w:tr>
      <w:tr w:rsidR="00346982" w:rsidRPr="00346982" w14:paraId="52D2B58D" w14:textId="77777777" w:rsidTr="00346982">
        <w:trPr>
          <w:trHeight w:val="270"/>
          <w:jc w:val="center"/>
        </w:trPr>
        <w:tc>
          <w:tcPr>
            <w:tcW w:w="516" w:type="pct"/>
            <w:tcBorders>
              <w:top w:val="nil"/>
              <w:left w:val="nil"/>
              <w:bottom w:val="nil"/>
              <w:right w:val="nil"/>
            </w:tcBorders>
            <w:vAlign w:val="center"/>
          </w:tcPr>
          <w:p w14:paraId="449AEB3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10</w:t>
            </w:r>
          </w:p>
        </w:tc>
        <w:tc>
          <w:tcPr>
            <w:tcW w:w="412" w:type="pct"/>
            <w:tcBorders>
              <w:top w:val="nil"/>
              <w:left w:val="nil"/>
              <w:bottom w:val="nil"/>
              <w:right w:val="nil"/>
            </w:tcBorders>
            <w:vAlign w:val="center"/>
          </w:tcPr>
          <w:p w14:paraId="063E34B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6.56</w:t>
            </w:r>
          </w:p>
        </w:tc>
        <w:tc>
          <w:tcPr>
            <w:tcW w:w="449" w:type="pct"/>
            <w:tcBorders>
              <w:top w:val="nil"/>
              <w:left w:val="nil"/>
              <w:bottom w:val="nil"/>
              <w:right w:val="nil"/>
            </w:tcBorders>
            <w:vAlign w:val="center"/>
          </w:tcPr>
          <w:p w14:paraId="1B79DA0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6.66</w:t>
            </w:r>
          </w:p>
        </w:tc>
        <w:tc>
          <w:tcPr>
            <w:tcW w:w="412" w:type="pct"/>
            <w:tcBorders>
              <w:top w:val="nil"/>
              <w:left w:val="nil"/>
              <w:bottom w:val="nil"/>
              <w:right w:val="nil"/>
            </w:tcBorders>
            <w:vAlign w:val="center"/>
          </w:tcPr>
          <w:p w14:paraId="2CAE0E3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69.82</w:t>
            </w:r>
          </w:p>
        </w:tc>
        <w:tc>
          <w:tcPr>
            <w:tcW w:w="441" w:type="pct"/>
            <w:tcBorders>
              <w:top w:val="nil"/>
              <w:left w:val="nil"/>
              <w:bottom w:val="nil"/>
              <w:right w:val="nil"/>
            </w:tcBorders>
            <w:vAlign w:val="center"/>
          </w:tcPr>
          <w:p w14:paraId="2C634AD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16.96</w:t>
            </w:r>
          </w:p>
        </w:tc>
        <w:tc>
          <w:tcPr>
            <w:tcW w:w="444" w:type="pct"/>
            <w:tcBorders>
              <w:top w:val="nil"/>
              <w:left w:val="nil"/>
              <w:bottom w:val="nil"/>
              <w:right w:val="nil"/>
            </w:tcBorders>
            <w:vAlign w:val="center"/>
          </w:tcPr>
          <w:p w14:paraId="783BCAB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43.33</w:t>
            </w:r>
          </w:p>
        </w:tc>
        <w:tc>
          <w:tcPr>
            <w:tcW w:w="403" w:type="pct"/>
            <w:tcBorders>
              <w:top w:val="nil"/>
              <w:left w:val="nil"/>
              <w:bottom w:val="nil"/>
              <w:right w:val="nil"/>
            </w:tcBorders>
            <w:vAlign w:val="center"/>
          </w:tcPr>
          <w:p w14:paraId="28DBA9F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7.07</w:t>
            </w:r>
          </w:p>
        </w:tc>
        <w:tc>
          <w:tcPr>
            <w:tcW w:w="405" w:type="pct"/>
            <w:tcBorders>
              <w:top w:val="nil"/>
              <w:left w:val="nil"/>
              <w:bottom w:val="nil"/>
              <w:right w:val="nil"/>
            </w:tcBorders>
            <w:vAlign w:val="center"/>
          </w:tcPr>
          <w:p w14:paraId="0E133A8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3.45</w:t>
            </w:r>
          </w:p>
        </w:tc>
        <w:tc>
          <w:tcPr>
            <w:tcW w:w="447" w:type="pct"/>
            <w:tcBorders>
              <w:top w:val="nil"/>
              <w:left w:val="nil"/>
              <w:bottom w:val="nil"/>
              <w:right w:val="nil"/>
            </w:tcBorders>
            <w:vAlign w:val="center"/>
          </w:tcPr>
          <w:p w14:paraId="12B8F47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42.15</w:t>
            </w:r>
          </w:p>
        </w:tc>
        <w:tc>
          <w:tcPr>
            <w:tcW w:w="407" w:type="pct"/>
            <w:tcBorders>
              <w:top w:val="nil"/>
              <w:left w:val="nil"/>
              <w:bottom w:val="nil"/>
              <w:right w:val="nil"/>
            </w:tcBorders>
            <w:vAlign w:val="center"/>
          </w:tcPr>
          <w:p w14:paraId="5C86F4C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0.16</w:t>
            </w:r>
          </w:p>
        </w:tc>
        <w:tc>
          <w:tcPr>
            <w:tcW w:w="664" w:type="pct"/>
            <w:tcBorders>
              <w:top w:val="nil"/>
              <w:left w:val="nil"/>
              <w:bottom w:val="nil"/>
              <w:right w:val="nil"/>
            </w:tcBorders>
            <w:vAlign w:val="center"/>
          </w:tcPr>
          <w:p w14:paraId="406A8DE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17.23</w:t>
            </w:r>
          </w:p>
        </w:tc>
      </w:tr>
      <w:tr w:rsidR="00346982" w:rsidRPr="00346982" w14:paraId="607BC415" w14:textId="77777777" w:rsidTr="00346982">
        <w:trPr>
          <w:trHeight w:val="270"/>
          <w:jc w:val="center"/>
        </w:trPr>
        <w:tc>
          <w:tcPr>
            <w:tcW w:w="516" w:type="pct"/>
            <w:tcBorders>
              <w:top w:val="nil"/>
              <w:left w:val="nil"/>
              <w:bottom w:val="nil"/>
              <w:right w:val="nil"/>
            </w:tcBorders>
            <w:vAlign w:val="center"/>
          </w:tcPr>
          <w:p w14:paraId="788BCBD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11</w:t>
            </w:r>
          </w:p>
        </w:tc>
        <w:tc>
          <w:tcPr>
            <w:tcW w:w="412" w:type="pct"/>
            <w:tcBorders>
              <w:top w:val="nil"/>
              <w:left w:val="nil"/>
              <w:bottom w:val="nil"/>
              <w:right w:val="nil"/>
            </w:tcBorders>
            <w:vAlign w:val="center"/>
          </w:tcPr>
          <w:p w14:paraId="2619083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11.79</w:t>
            </w:r>
          </w:p>
        </w:tc>
        <w:tc>
          <w:tcPr>
            <w:tcW w:w="449" w:type="pct"/>
            <w:tcBorders>
              <w:top w:val="nil"/>
              <w:left w:val="nil"/>
              <w:bottom w:val="nil"/>
              <w:right w:val="nil"/>
            </w:tcBorders>
            <w:vAlign w:val="center"/>
          </w:tcPr>
          <w:p w14:paraId="295C4C7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0.40</w:t>
            </w:r>
          </w:p>
        </w:tc>
        <w:tc>
          <w:tcPr>
            <w:tcW w:w="412" w:type="pct"/>
            <w:tcBorders>
              <w:top w:val="nil"/>
              <w:left w:val="nil"/>
              <w:bottom w:val="nil"/>
              <w:right w:val="nil"/>
            </w:tcBorders>
            <w:vAlign w:val="center"/>
          </w:tcPr>
          <w:p w14:paraId="54ED629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75.00</w:t>
            </w:r>
          </w:p>
        </w:tc>
        <w:tc>
          <w:tcPr>
            <w:tcW w:w="441" w:type="pct"/>
            <w:tcBorders>
              <w:top w:val="nil"/>
              <w:left w:val="nil"/>
              <w:bottom w:val="nil"/>
              <w:right w:val="nil"/>
            </w:tcBorders>
            <w:vAlign w:val="center"/>
          </w:tcPr>
          <w:p w14:paraId="31EB348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12.81</w:t>
            </w:r>
          </w:p>
        </w:tc>
        <w:tc>
          <w:tcPr>
            <w:tcW w:w="444" w:type="pct"/>
            <w:tcBorders>
              <w:top w:val="nil"/>
              <w:left w:val="nil"/>
              <w:bottom w:val="nil"/>
              <w:right w:val="nil"/>
            </w:tcBorders>
            <w:vAlign w:val="center"/>
          </w:tcPr>
          <w:p w14:paraId="274A454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44.72</w:t>
            </w:r>
          </w:p>
        </w:tc>
        <w:tc>
          <w:tcPr>
            <w:tcW w:w="403" w:type="pct"/>
            <w:tcBorders>
              <w:top w:val="nil"/>
              <w:left w:val="nil"/>
              <w:bottom w:val="nil"/>
              <w:right w:val="nil"/>
            </w:tcBorders>
            <w:vAlign w:val="center"/>
          </w:tcPr>
          <w:p w14:paraId="67509DC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5.73</w:t>
            </w:r>
          </w:p>
        </w:tc>
        <w:tc>
          <w:tcPr>
            <w:tcW w:w="405" w:type="pct"/>
            <w:tcBorders>
              <w:top w:val="nil"/>
              <w:left w:val="nil"/>
              <w:bottom w:val="nil"/>
              <w:right w:val="nil"/>
            </w:tcBorders>
            <w:vAlign w:val="center"/>
          </w:tcPr>
          <w:p w14:paraId="1AC1546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3.17</w:t>
            </w:r>
          </w:p>
        </w:tc>
        <w:tc>
          <w:tcPr>
            <w:tcW w:w="447" w:type="pct"/>
            <w:tcBorders>
              <w:top w:val="nil"/>
              <w:left w:val="nil"/>
              <w:bottom w:val="nil"/>
              <w:right w:val="nil"/>
            </w:tcBorders>
            <w:vAlign w:val="center"/>
          </w:tcPr>
          <w:p w14:paraId="05CFB1F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45.72</w:t>
            </w:r>
          </w:p>
        </w:tc>
        <w:tc>
          <w:tcPr>
            <w:tcW w:w="407" w:type="pct"/>
            <w:tcBorders>
              <w:top w:val="nil"/>
              <w:left w:val="nil"/>
              <w:bottom w:val="nil"/>
              <w:right w:val="nil"/>
            </w:tcBorders>
            <w:vAlign w:val="center"/>
          </w:tcPr>
          <w:p w14:paraId="0BEBDDBA" w14:textId="2B54F366"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Pr>
                <w:rFonts w:hint="eastAsia"/>
                <w:snapToGrid w:val="0"/>
                <w:color w:val="000000"/>
                <w:kern w:val="0"/>
                <w:sz w:val="24"/>
              </w:rPr>
              <w:t>-</w:t>
            </w:r>
          </w:p>
        </w:tc>
        <w:tc>
          <w:tcPr>
            <w:tcW w:w="664" w:type="pct"/>
            <w:tcBorders>
              <w:top w:val="nil"/>
              <w:left w:val="nil"/>
              <w:bottom w:val="nil"/>
              <w:right w:val="nil"/>
            </w:tcBorders>
            <w:vAlign w:val="center"/>
          </w:tcPr>
          <w:p w14:paraId="72A5DF7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15.78</w:t>
            </w:r>
          </w:p>
        </w:tc>
      </w:tr>
      <w:tr w:rsidR="00346982" w:rsidRPr="00346982" w14:paraId="2ABD0B78" w14:textId="77777777" w:rsidTr="009F4EFE">
        <w:trPr>
          <w:trHeight w:val="270"/>
          <w:jc w:val="center"/>
        </w:trPr>
        <w:tc>
          <w:tcPr>
            <w:tcW w:w="516" w:type="pct"/>
            <w:tcBorders>
              <w:top w:val="nil"/>
              <w:left w:val="nil"/>
              <w:bottom w:val="nil"/>
              <w:right w:val="nil"/>
            </w:tcBorders>
            <w:vAlign w:val="center"/>
          </w:tcPr>
          <w:p w14:paraId="071E354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w:t>
            </w:r>
          </w:p>
        </w:tc>
        <w:tc>
          <w:tcPr>
            <w:tcW w:w="412" w:type="pct"/>
            <w:tcBorders>
              <w:top w:val="nil"/>
              <w:left w:val="nil"/>
              <w:bottom w:val="nil"/>
              <w:right w:val="nil"/>
            </w:tcBorders>
            <w:vAlign w:val="center"/>
          </w:tcPr>
          <w:p w14:paraId="2CEE512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10.46</w:t>
            </w:r>
          </w:p>
        </w:tc>
        <w:tc>
          <w:tcPr>
            <w:tcW w:w="449" w:type="pct"/>
            <w:tcBorders>
              <w:top w:val="nil"/>
              <w:left w:val="nil"/>
              <w:bottom w:val="nil"/>
              <w:right w:val="nil"/>
            </w:tcBorders>
            <w:vAlign w:val="center"/>
          </w:tcPr>
          <w:p w14:paraId="4DAC7B7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1.32</w:t>
            </w:r>
          </w:p>
        </w:tc>
        <w:tc>
          <w:tcPr>
            <w:tcW w:w="412" w:type="pct"/>
            <w:tcBorders>
              <w:top w:val="nil"/>
              <w:left w:val="nil"/>
              <w:bottom w:val="nil"/>
              <w:right w:val="nil"/>
            </w:tcBorders>
            <w:vAlign w:val="center"/>
          </w:tcPr>
          <w:p w14:paraId="6D0981C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71.20</w:t>
            </w:r>
          </w:p>
        </w:tc>
        <w:tc>
          <w:tcPr>
            <w:tcW w:w="441" w:type="pct"/>
            <w:tcBorders>
              <w:top w:val="nil"/>
              <w:left w:val="nil"/>
              <w:bottom w:val="nil"/>
              <w:right w:val="nil"/>
            </w:tcBorders>
            <w:vAlign w:val="center"/>
          </w:tcPr>
          <w:p w14:paraId="20C5CC8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17.02</w:t>
            </w:r>
          </w:p>
        </w:tc>
        <w:tc>
          <w:tcPr>
            <w:tcW w:w="444" w:type="pct"/>
            <w:tcBorders>
              <w:top w:val="nil"/>
              <w:left w:val="nil"/>
              <w:bottom w:val="nil"/>
              <w:right w:val="nil"/>
            </w:tcBorders>
            <w:vAlign w:val="center"/>
          </w:tcPr>
          <w:p w14:paraId="5F4400E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46.69</w:t>
            </w:r>
          </w:p>
        </w:tc>
        <w:tc>
          <w:tcPr>
            <w:tcW w:w="403" w:type="pct"/>
            <w:tcBorders>
              <w:top w:val="nil"/>
              <w:left w:val="nil"/>
              <w:bottom w:val="nil"/>
              <w:right w:val="nil"/>
            </w:tcBorders>
            <w:vAlign w:val="center"/>
          </w:tcPr>
          <w:p w14:paraId="4EE4728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5.81</w:t>
            </w:r>
          </w:p>
        </w:tc>
        <w:tc>
          <w:tcPr>
            <w:tcW w:w="405" w:type="pct"/>
            <w:tcBorders>
              <w:top w:val="nil"/>
              <w:left w:val="nil"/>
              <w:bottom w:val="nil"/>
              <w:right w:val="nil"/>
            </w:tcBorders>
            <w:vAlign w:val="center"/>
          </w:tcPr>
          <w:p w14:paraId="2D0B0E4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3.84</w:t>
            </w:r>
          </w:p>
        </w:tc>
        <w:tc>
          <w:tcPr>
            <w:tcW w:w="447" w:type="pct"/>
            <w:tcBorders>
              <w:top w:val="nil"/>
              <w:left w:val="nil"/>
              <w:bottom w:val="nil"/>
              <w:right w:val="nil"/>
            </w:tcBorders>
            <w:vAlign w:val="center"/>
          </w:tcPr>
          <w:p w14:paraId="1C303E3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43.03</w:t>
            </w:r>
          </w:p>
        </w:tc>
        <w:tc>
          <w:tcPr>
            <w:tcW w:w="407" w:type="pct"/>
            <w:tcBorders>
              <w:top w:val="nil"/>
              <w:left w:val="nil"/>
              <w:bottom w:val="nil"/>
              <w:right w:val="nil"/>
            </w:tcBorders>
            <w:vAlign w:val="center"/>
          </w:tcPr>
          <w:p w14:paraId="01D0B90D" w14:textId="26744294"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Pr>
                <w:rFonts w:hint="eastAsia"/>
                <w:snapToGrid w:val="0"/>
                <w:color w:val="000000"/>
                <w:kern w:val="0"/>
                <w:sz w:val="24"/>
              </w:rPr>
              <w:t>-</w:t>
            </w:r>
          </w:p>
        </w:tc>
        <w:tc>
          <w:tcPr>
            <w:tcW w:w="664" w:type="pct"/>
            <w:tcBorders>
              <w:top w:val="nil"/>
              <w:left w:val="nil"/>
              <w:bottom w:val="nil"/>
              <w:right w:val="nil"/>
            </w:tcBorders>
            <w:vAlign w:val="center"/>
          </w:tcPr>
          <w:p w14:paraId="3F57EA1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16.86</w:t>
            </w:r>
          </w:p>
        </w:tc>
      </w:tr>
      <w:tr w:rsidR="00346982" w:rsidRPr="00346982" w14:paraId="4F5C8037" w14:textId="77777777" w:rsidTr="009F4EFE">
        <w:trPr>
          <w:trHeight w:val="278"/>
          <w:jc w:val="center"/>
        </w:trPr>
        <w:tc>
          <w:tcPr>
            <w:tcW w:w="516" w:type="pct"/>
            <w:tcBorders>
              <w:top w:val="nil"/>
              <w:left w:val="nil"/>
              <w:bottom w:val="nil"/>
              <w:right w:val="nil"/>
            </w:tcBorders>
            <w:vAlign w:val="center"/>
          </w:tcPr>
          <w:p w14:paraId="316DB62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13</w:t>
            </w:r>
          </w:p>
        </w:tc>
        <w:tc>
          <w:tcPr>
            <w:tcW w:w="412" w:type="pct"/>
            <w:tcBorders>
              <w:top w:val="nil"/>
              <w:left w:val="nil"/>
              <w:bottom w:val="nil"/>
              <w:right w:val="nil"/>
            </w:tcBorders>
            <w:vAlign w:val="center"/>
          </w:tcPr>
          <w:p w14:paraId="58F22C3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11.05</w:t>
            </w:r>
          </w:p>
        </w:tc>
        <w:tc>
          <w:tcPr>
            <w:tcW w:w="449" w:type="pct"/>
            <w:tcBorders>
              <w:top w:val="nil"/>
              <w:left w:val="nil"/>
              <w:bottom w:val="nil"/>
              <w:right w:val="nil"/>
            </w:tcBorders>
            <w:vAlign w:val="center"/>
          </w:tcPr>
          <w:p w14:paraId="5D982F3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1.54</w:t>
            </w:r>
          </w:p>
        </w:tc>
        <w:tc>
          <w:tcPr>
            <w:tcW w:w="412" w:type="pct"/>
            <w:tcBorders>
              <w:top w:val="nil"/>
              <w:left w:val="nil"/>
              <w:bottom w:val="nil"/>
              <w:right w:val="nil"/>
            </w:tcBorders>
            <w:vAlign w:val="center"/>
          </w:tcPr>
          <w:p w14:paraId="325787D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73.04</w:t>
            </w:r>
          </w:p>
        </w:tc>
        <w:tc>
          <w:tcPr>
            <w:tcW w:w="441" w:type="pct"/>
            <w:tcBorders>
              <w:top w:val="nil"/>
              <w:left w:val="nil"/>
              <w:bottom w:val="nil"/>
              <w:right w:val="nil"/>
            </w:tcBorders>
            <w:vAlign w:val="center"/>
          </w:tcPr>
          <w:p w14:paraId="6303853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14.37</w:t>
            </w:r>
          </w:p>
        </w:tc>
        <w:tc>
          <w:tcPr>
            <w:tcW w:w="444" w:type="pct"/>
            <w:tcBorders>
              <w:top w:val="nil"/>
              <w:left w:val="nil"/>
              <w:bottom w:val="nil"/>
              <w:right w:val="nil"/>
            </w:tcBorders>
            <w:vAlign w:val="center"/>
          </w:tcPr>
          <w:p w14:paraId="191B8D9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49.22</w:t>
            </w:r>
          </w:p>
        </w:tc>
        <w:tc>
          <w:tcPr>
            <w:tcW w:w="403" w:type="pct"/>
            <w:tcBorders>
              <w:top w:val="nil"/>
              <w:left w:val="nil"/>
              <w:bottom w:val="nil"/>
              <w:right w:val="nil"/>
            </w:tcBorders>
            <w:vAlign w:val="center"/>
          </w:tcPr>
          <w:p w14:paraId="5112B8A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5.84</w:t>
            </w:r>
          </w:p>
        </w:tc>
        <w:tc>
          <w:tcPr>
            <w:tcW w:w="405" w:type="pct"/>
            <w:tcBorders>
              <w:top w:val="nil"/>
              <w:left w:val="nil"/>
              <w:bottom w:val="nil"/>
              <w:right w:val="nil"/>
            </w:tcBorders>
            <w:vAlign w:val="center"/>
          </w:tcPr>
          <w:p w14:paraId="5643F69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0.72</w:t>
            </w:r>
          </w:p>
        </w:tc>
        <w:tc>
          <w:tcPr>
            <w:tcW w:w="447" w:type="pct"/>
            <w:tcBorders>
              <w:top w:val="nil"/>
              <w:left w:val="nil"/>
              <w:bottom w:val="nil"/>
              <w:right w:val="nil"/>
            </w:tcBorders>
            <w:vAlign w:val="center"/>
          </w:tcPr>
          <w:p w14:paraId="08575FE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44.60</w:t>
            </w:r>
          </w:p>
        </w:tc>
        <w:tc>
          <w:tcPr>
            <w:tcW w:w="407" w:type="pct"/>
            <w:tcBorders>
              <w:top w:val="nil"/>
              <w:left w:val="nil"/>
              <w:bottom w:val="nil"/>
              <w:right w:val="nil"/>
            </w:tcBorders>
            <w:vAlign w:val="center"/>
          </w:tcPr>
          <w:p w14:paraId="1B0746D0" w14:textId="6C84F904"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Pr>
                <w:rFonts w:hint="eastAsia"/>
                <w:snapToGrid w:val="0"/>
                <w:color w:val="000000"/>
                <w:kern w:val="0"/>
                <w:sz w:val="24"/>
              </w:rPr>
              <w:t>-</w:t>
            </w:r>
          </w:p>
        </w:tc>
        <w:tc>
          <w:tcPr>
            <w:tcW w:w="664" w:type="pct"/>
            <w:tcBorders>
              <w:top w:val="nil"/>
              <w:left w:val="nil"/>
              <w:bottom w:val="nil"/>
              <w:right w:val="nil"/>
            </w:tcBorders>
            <w:vAlign w:val="center"/>
          </w:tcPr>
          <w:p w14:paraId="013452E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17.56</w:t>
            </w:r>
          </w:p>
        </w:tc>
      </w:tr>
      <w:tr w:rsidR="00346982" w:rsidRPr="00346982" w14:paraId="309905D9" w14:textId="77777777" w:rsidTr="009F4EFE">
        <w:trPr>
          <w:trHeight w:val="270"/>
          <w:jc w:val="center"/>
        </w:trPr>
        <w:tc>
          <w:tcPr>
            <w:tcW w:w="516" w:type="pct"/>
            <w:tcBorders>
              <w:top w:val="nil"/>
              <w:left w:val="nil"/>
              <w:bottom w:val="nil"/>
              <w:right w:val="nil"/>
            </w:tcBorders>
            <w:vAlign w:val="center"/>
          </w:tcPr>
          <w:p w14:paraId="2AAFAF3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14</w:t>
            </w:r>
          </w:p>
        </w:tc>
        <w:tc>
          <w:tcPr>
            <w:tcW w:w="412" w:type="pct"/>
            <w:tcBorders>
              <w:top w:val="nil"/>
              <w:left w:val="nil"/>
              <w:bottom w:val="nil"/>
              <w:right w:val="nil"/>
            </w:tcBorders>
            <w:vAlign w:val="center"/>
          </w:tcPr>
          <w:p w14:paraId="30E1081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10.21</w:t>
            </w:r>
          </w:p>
        </w:tc>
        <w:tc>
          <w:tcPr>
            <w:tcW w:w="449" w:type="pct"/>
            <w:tcBorders>
              <w:top w:val="nil"/>
              <w:left w:val="nil"/>
              <w:bottom w:val="nil"/>
              <w:right w:val="nil"/>
            </w:tcBorders>
            <w:vAlign w:val="center"/>
          </w:tcPr>
          <w:p w14:paraId="43FFA4D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1.34</w:t>
            </w:r>
          </w:p>
        </w:tc>
        <w:tc>
          <w:tcPr>
            <w:tcW w:w="412" w:type="pct"/>
            <w:tcBorders>
              <w:top w:val="nil"/>
              <w:left w:val="nil"/>
              <w:bottom w:val="nil"/>
              <w:right w:val="nil"/>
            </w:tcBorders>
            <w:vAlign w:val="center"/>
          </w:tcPr>
          <w:p w14:paraId="41644B3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74.17</w:t>
            </w:r>
          </w:p>
        </w:tc>
        <w:tc>
          <w:tcPr>
            <w:tcW w:w="441" w:type="pct"/>
            <w:tcBorders>
              <w:top w:val="nil"/>
              <w:left w:val="nil"/>
              <w:bottom w:val="nil"/>
              <w:right w:val="nil"/>
            </w:tcBorders>
            <w:vAlign w:val="center"/>
          </w:tcPr>
          <w:p w14:paraId="3FA7294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14.28</w:t>
            </w:r>
          </w:p>
        </w:tc>
        <w:tc>
          <w:tcPr>
            <w:tcW w:w="444" w:type="pct"/>
            <w:tcBorders>
              <w:top w:val="nil"/>
              <w:left w:val="nil"/>
              <w:bottom w:val="nil"/>
              <w:right w:val="nil"/>
            </w:tcBorders>
            <w:vAlign w:val="center"/>
          </w:tcPr>
          <w:p w14:paraId="0AE7FCB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47.22</w:t>
            </w:r>
          </w:p>
        </w:tc>
        <w:tc>
          <w:tcPr>
            <w:tcW w:w="403" w:type="pct"/>
            <w:tcBorders>
              <w:top w:val="nil"/>
              <w:left w:val="nil"/>
              <w:bottom w:val="nil"/>
              <w:right w:val="nil"/>
            </w:tcBorders>
            <w:vAlign w:val="center"/>
          </w:tcPr>
          <w:p w14:paraId="00D5A8A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5.67</w:t>
            </w:r>
          </w:p>
        </w:tc>
        <w:tc>
          <w:tcPr>
            <w:tcW w:w="405" w:type="pct"/>
            <w:tcBorders>
              <w:top w:val="nil"/>
              <w:left w:val="nil"/>
              <w:bottom w:val="nil"/>
              <w:right w:val="nil"/>
            </w:tcBorders>
            <w:vAlign w:val="center"/>
          </w:tcPr>
          <w:p w14:paraId="1FB3074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3.44</w:t>
            </w:r>
          </w:p>
        </w:tc>
        <w:tc>
          <w:tcPr>
            <w:tcW w:w="447" w:type="pct"/>
            <w:tcBorders>
              <w:top w:val="nil"/>
              <w:left w:val="nil"/>
              <w:bottom w:val="nil"/>
              <w:right w:val="nil"/>
            </w:tcBorders>
            <w:vAlign w:val="center"/>
          </w:tcPr>
          <w:p w14:paraId="322AD9A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39.91</w:t>
            </w:r>
          </w:p>
        </w:tc>
        <w:tc>
          <w:tcPr>
            <w:tcW w:w="407" w:type="pct"/>
            <w:tcBorders>
              <w:top w:val="nil"/>
              <w:left w:val="nil"/>
              <w:bottom w:val="nil"/>
              <w:right w:val="nil"/>
            </w:tcBorders>
            <w:vAlign w:val="center"/>
          </w:tcPr>
          <w:p w14:paraId="30ECBD1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0.17</w:t>
            </w:r>
          </w:p>
        </w:tc>
        <w:tc>
          <w:tcPr>
            <w:tcW w:w="664" w:type="pct"/>
            <w:tcBorders>
              <w:top w:val="nil"/>
              <w:left w:val="nil"/>
              <w:bottom w:val="nil"/>
              <w:right w:val="nil"/>
            </w:tcBorders>
            <w:vAlign w:val="center"/>
          </w:tcPr>
          <w:p w14:paraId="051FD0C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17.26</w:t>
            </w:r>
          </w:p>
        </w:tc>
      </w:tr>
      <w:tr w:rsidR="00346982" w:rsidRPr="00346982" w14:paraId="1B91742E" w14:textId="77777777" w:rsidTr="00346982">
        <w:trPr>
          <w:trHeight w:val="270"/>
          <w:jc w:val="center"/>
        </w:trPr>
        <w:tc>
          <w:tcPr>
            <w:tcW w:w="516" w:type="pct"/>
            <w:tcBorders>
              <w:top w:val="nil"/>
              <w:left w:val="nil"/>
              <w:bottom w:val="nil"/>
              <w:right w:val="nil"/>
            </w:tcBorders>
            <w:vAlign w:val="center"/>
          </w:tcPr>
          <w:p w14:paraId="798223B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w:t>
            </w:r>
          </w:p>
        </w:tc>
        <w:tc>
          <w:tcPr>
            <w:tcW w:w="412" w:type="pct"/>
            <w:tcBorders>
              <w:top w:val="nil"/>
              <w:left w:val="nil"/>
              <w:bottom w:val="nil"/>
              <w:right w:val="nil"/>
            </w:tcBorders>
            <w:vAlign w:val="center"/>
          </w:tcPr>
          <w:p w14:paraId="10A12FC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9.53</w:t>
            </w:r>
          </w:p>
        </w:tc>
        <w:tc>
          <w:tcPr>
            <w:tcW w:w="449" w:type="pct"/>
            <w:tcBorders>
              <w:top w:val="nil"/>
              <w:left w:val="nil"/>
              <w:bottom w:val="nil"/>
              <w:right w:val="nil"/>
            </w:tcBorders>
            <w:vAlign w:val="center"/>
          </w:tcPr>
          <w:p w14:paraId="12B2FD7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15.86</w:t>
            </w:r>
          </w:p>
        </w:tc>
        <w:tc>
          <w:tcPr>
            <w:tcW w:w="412" w:type="pct"/>
            <w:tcBorders>
              <w:top w:val="nil"/>
              <w:left w:val="nil"/>
              <w:bottom w:val="nil"/>
              <w:right w:val="nil"/>
            </w:tcBorders>
            <w:vAlign w:val="center"/>
          </w:tcPr>
          <w:p w14:paraId="77B2E16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57.60</w:t>
            </w:r>
          </w:p>
        </w:tc>
        <w:tc>
          <w:tcPr>
            <w:tcW w:w="441" w:type="pct"/>
            <w:tcBorders>
              <w:top w:val="nil"/>
              <w:left w:val="nil"/>
              <w:bottom w:val="nil"/>
              <w:right w:val="nil"/>
            </w:tcBorders>
            <w:vAlign w:val="center"/>
          </w:tcPr>
          <w:p w14:paraId="247EDD9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17.01</w:t>
            </w:r>
          </w:p>
        </w:tc>
        <w:tc>
          <w:tcPr>
            <w:tcW w:w="444" w:type="pct"/>
            <w:tcBorders>
              <w:top w:val="nil"/>
              <w:left w:val="nil"/>
              <w:bottom w:val="nil"/>
              <w:right w:val="nil"/>
            </w:tcBorders>
            <w:vAlign w:val="center"/>
          </w:tcPr>
          <w:p w14:paraId="3208300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37.59</w:t>
            </w:r>
          </w:p>
        </w:tc>
        <w:tc>
          <w:tcPr>
            <w:tcW w:w="403" w:type="pct"/>
            <w:tcBorders>
              <w:top w:val="nil"/>
              <w:left w:val="nil"/>
              <w:bottom w:val="nil"/>
              <w:right w:val="nil"/>
            </w:tcBorders>
            <w:vAlign w:val="center"/>
          </w:tcPr>
          <w:p w14:paraId="7F27DA5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4.47</w:t>
            </w:r>
          </w:p>
        </w:tc>
        <w:tc>
          <w:tcPr>
            <w:tcW w:w="405" w:type="pct"/>
            <w:tcBorders>
              <w:top w:val="nil"/>
              <w:left w:val="nil"/>
              <w:bottom w:val="nil"/>
              <w:right w:val="nil"/>
            </w:tcBorders>
            <w:vAlign w:val="center"/>
          </w:tcPr>
          <w:p w14:paraId="36EFBB8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1.02</w:t>
            </w:r>
          </w:p>
        </w:tc>
        <w:tc>
          <w:tcPr>
            <w:tcW w:w="447" w:type="pct"/>
            <w:tcBorders>
              <w:top w:val="nil"/>
              <w:left w:val="nil"/>
              <w:bottom w:val="nil"/>
              <w:right w:val="nil"/>
            </w:tcBorders>
            <w:vAlign w:val="center"/>
          </w:tcPr>
          <w:p w14:paraId="25FA235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38.01</w:t>
            </w:r>
          </w:p>
        </w:tc>
        <w:tc>
          <w:tcPr>
            <w:tcW w:w="407" w:type="pct"/>
            <w:tcBorders>
              <w:top w:val="nil"/>
              <w:left w:val="nil"/>
              <w:bottom w:val="nil"/>
              <w:right w:val="nil"/>
            </w:tcBorders>
            <w:vAlign w:val="center"/>
          </w:tcPr>
          <w:p w14:paraId="082B107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0.35</w:t>
            </w:r>
          </w:p>
        </w:tc>
        <w:tc>
          <w:tcPr>
            <w:tcW w:w="664" w:type="pct"/>
            <w:tcBorders>
              <w:top w:val="nil"/>
              <w:left w:val="nil"/>
              <w:bottom w:val="nil"/>
              <w:right w:val="nil"/>
            </w:tcBorders>
            <w:vAlign w:val="center"/>
          </w:tcPr>
          <w:p w14:paraId="77232D6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15.17</w:t>
            </w:r>
          </w:p>
        </w:tc>
      </w:tr>
      <w:tr w:rsidR="00346982" w:rsidRPr="00346982" w14:paraId="1E0F1417" w14:textId="77777777" w:rsidTr="00346982">
        <w:trPr>
          <w:trHeight w:val="270"/>
          <w:jc w:val="center"/>
        </w:trPr>
        <w:tc>
          <w:tcPr>
            <w:tcW w:w="516" w:type="pct"/>
            <w:tcBorders>
              <w:top w:val="nil"/>
              <w:left w:val="nil"/>
              <w:bottom w:val="nil"/>
              <w:right w:val="nil"/>
            </w:tcBorders>
            <w:vAlign w:val="center"/>
          </w:tcPr>
          <w:p w14:paraId="3622BF2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w:t>
            </w:r>
          </w:p>
        </w:tc>
        <w:tc>
          <w:tcPr>
            <w:tcW w:w="412" w:type="pct"/>
            <w:tcBorders>
              <w:top w:val="nil"/>
              <w:left w:val="nil"/>
              <w:bottom w:val="nil"/>
              <w:right w:val="nil"/>
            </w:tcBorders>
            <w:vAlign w:val="center"/>
          </w:tcPr>
          <w:p w14:paraId="6E0D49E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9.18</w:t>
            </w:r>
          </w:p>
        </w:tc>
        <w:tc>
          <w:tcPr>
            <w:tcW w:w="449" w:type="pct"/>
            <w:tcBorders>
              <w:top w:val="nil"/>
              <w:left w:val="nil"/>
              <w:bottom w:val="nil"/>
              <w:right w:val="nil"/>
            </w:tcBorders>
            <w:vAlign w:val="center"/>
          </w:tcPr>
          <w:p w14:paraId="0EDA4A3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11.77</w:t>
            </w:r>
          </w:p>
        </w:tc>
        <w:tc>
          <w:tcPr>
            <w:tcW w:w="412" w:type="pct"/>
            <w:tcBorders>
              <w:top w:val="nil"/>
              <w:left w:val="nil"/>
              <w:bottom w:val="nil"/>
              <w:right w:val="nil"/>
            </w:tcBorders>
            <w:vAlign w:val="center"/>
          </w:tcPr>
          <w:p w14:paraId="675CF0B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68.54</w:t>
            </w:r>
          </w:p>
        </w:tc>
        <w:tc>
          <w:tcPr>
            <w:tcW w:w="441" w:type="pct"/>
            <w:tcBorders>
              <w:top w:val="nil"/>
              <w:left w:val="nil"/>
              <w:bottom w:val="nil"/>
              <w:right w:val="nil"/>
            </w:tcBorders>
            <w:vAlign w:val="center"/>
          </w:tcPr>
          <w:p w14:paraId="738BC88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10.50</w:t>
            </w:r>
          </w:p>
        </w:tc>
        <w:tc>
          <w:tcPr>
            <w:tcW w:w="444" w:type="pct"/>
            <w:tcBorders>
              <w:top w:val="nil"/>
              <w:left w:val="nil"/>
              <w:bottom w:val="nil"/>
              <w:right w:val="nil"/>
            </w:tcBorders>
            <w:vAlign w:val="center"/>
          </w:tcPr>
          <w:p w14:paraId="54984B9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39.58</w:t>
            </w:r>
          </w:p>
        </w:tc>
        <w:tc>
          <w:tcPr>
            <w:tcW w:w="403" w:type="pct"/>
            <w:tcBorders>
              <w:top w:val="nil"/>
              <w:left w:val="nil"/>
              <w:bottom w:val="nil"/>
              <w:right w:val="nil"/>
            </w:tcBorders>
            <w:vAlign w:val="center"/>
          </w:tcPr>
          <w:p w14:paraId="7198BF6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5.05</w:t>
            </w:r>
          </w:p>
        </w:tc>
        <w:tc>
          <w:tcPr>
            <w:tcW w:w="405" w:type="pct"/>
            <w:tcBorders>
              <w:top w:val="nil"/>
              <w:left w:val="nil"/>
              <w:bottom w:val="nil"/>
              <w:right w:val="nil"/>
            </w:tcBorders>
            <w:vAlign w:val="center"/>
          </w:tcPr>
          <w:p w14:paraId="0BF3298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0.59</w:t>
            </w:r>
          </w:p>
        </w:tc>
        <w:tc>
          <w:tcPr>
            <w:tcW w:w="447" w:type="pct"/>
            <w:tcBorders>
              <w:top w:val="nil"/>
              <w:left w:val="nil"/>
              <w:bottom w:val="nil"/>
              <w:right w:val="nil"/>
            </w:tcBorders>
            <w:vAlign w:val="center"/>
          </w:tcPr>
          <w:p w14:paraId="0A8C337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40.11</w:t>
            </w:r>
          </w:p>
        </w:tc>
        <w:tc>
          <w:tcPr>
            <w:tcW w:w="407" w:type="pct"/>
            <w:tcBorders>
              <w:top w:val="nil"/>
              <w:left w:val="nil"/>
              <w:bottom w:val="nil"/>
              <w:right w:val="nil"/>
            </w:tcBorders>
            <w:vAlign w:val="center"/>
          </w:tcPr>
          <w:p w14:paraId="3F9F7B3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0.36</w:t>
            </w:r>
          </w:p>
        </w:tc>
        <w:tc>
          <w:tcPr>
            <w:tcW w:w="664" w:type="pct"/>
            <w:tcBorders>
              <w:top w:val="nil"/>
              <w:left w:val="nil"/>
              <w:bottom w:val="nil"/>
              <w:right w:val="nil"/>
            </w:tcBorders>
            <w:vAlign w:val="center"/>
          </w:tcPr>
          <w:p w14:paraId="64474AD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12.07</w:t>
            </w:r>
          </w:p>
        </w:tc>
      </w:tr>
      <w:tr w:rsidR="00346982" w:rsidRPr="00346982" w14:paraId="423B8D8D" w14:textId="77777777" w:rsidTr="00346982">
        <w:trPr>
          <w:trHeight w:val="270"/>
          <w:jc w:val="center"/>
        </w:trPr>
        <w:tc>
          <w:tcPr>
            <w:tcW w:w="516" w:type="pct"/>
            <w:tcBorders>
              <w:top w:val="nil"/>
              <w:left w:val="nil"/>
              <w:bottom w:val="nil"/>
              <w:right w:val="nil"/>
            </w:tcBorders>
            <w:vAlign w:val="center"/>
          </w:tcPr>
          <w:p w14:paraId="4382851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w:t>
            </w:r>
          </w:p>
        </w:tc>
        <w:tc>
          <w:tcPr>
            <w:tcW w:w="412" w:type="pct"/>
            <w:tcBorders>
              <w:top w:val="nil"/>
              <w:left w:val="nil"/>
              <w:bottom w:val="nil"/>
              <w:right w:val="nil"/>
            </w:tcBorders>
            <w:vAlign w:val="center"/>
          </w:tcPr>
          <w:p w14:paraId="013932F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11.48</w:t>
            </w:r>
          </w:p>
        </w:tc>
        <w:tc>
          <w:tcPr>
            <w:tcW w:w="449" w:type="pct"/>
            <w:tcBorders>
              <w:top w:val="nil"/>
              <w:left w:val="nil"/>
              <w:bottom w:val="nil"/>
              <w:right w:val="nil"/>
            </w:tcBorders>
            <w:vAlign w:val="center"/>
          </w:tcPr>
          <w:p w14:paraId="0A65765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6.16</w:t>
            </w:r>
          </w:p>
        </w:tc>
        <w:tc>
          <w:tcPr>
            <w:tcW w:w="412" w:type="pct"/>
            <w:tcBorders>
              <w:top w:val="nil"/>
              <w:left w:val="nil"/>
              <w:bottom w:val="nil"/>
              <w:right w:val="nil"/>
            </w:tcBorders>
            <w:vAlign w:val="center"/>
          </w:tcPr>
          <w:p w14:paraId="7178BE9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64.23</w:t>
            </w:r>
          </w:p>
        </w:tc>
        <w:tc>
          <w:tcPr>
            <w:tcW w:w="441" w:type="pct"/>
            <w:tcBorders>
              <w:top w:val="nil"/>
              <w:left w:val="nil"/>
              <w:bottom w:val="nil"/>
              <w:right w:val="nil"/>
            </w:tcBorders>
            <w:vAlign w:val="center"/>
          </w:tcPr>
          <w:p w14:paraId="4033AE6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18.13</w:t>
            </w:r>
          </w:p>
        </w:tc>
        <w:tc>
          <w:tcPr>
            <w:tcW w:w="444" w:type="pct"/>
            <w:tcBorders>
              <w:top w:val="nil"/>
              <w:left w:val="nil"/>
              <w:bottom w:val="nil"/>
              <w:right w:val="nil"/>
            </w:tcBorders>
            <w:vAlign w:val="center"/>
          </w:tcPr>
          <w:p w14:paraId="19B6B96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42.39</w:t>
            </w:r>
          </w:p>
        </w:tc>
        <w:tc>
          <w:tcPr>
            <w:tcW w:w="403" w:type="pct"/>
            <w:tcBorders>
              <w:top w:val="nil"/>
              <w:left w:val="nil"/>
              <w:bottom w:val="nil"/>
              <w:right w:val="nil"/>
            </w:tcBorders>
            <w:vAlign w:val="center"/>
          </w:tcPr>
          <w:p w14:paraId="11F3744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5.46</w:t>
            </w:r>
          </w:p>
        </w:tc>
        <w:tc>
          <w:tcPr>
            <w:tcW w:w="405" w:type="pct"/>
            <w:tcBorders>
              <w:top w:val="nil"/>
              <w:left w:val="nil"/>
              <w:bottom w:val="nil"/>
              <w:right w:val="nil"/>
            </w:tcBorders>
            <w:vAlign w:val="center"/>
          </w:tcPr>
          <w:p w14:paraId="43C12CD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1.37</w:t>
            </w:r>
          </w:p>
        </w:tc>
        <w:tc>
          <w:tcPr>
            <w:tcW w:w="447" w:type="pct"/>
            <w:tcBorders>
              <w:top w:val="nil"/>
              <w:left w:val="nil"/>
              <w:bottom w:val="nil"/>
              <w:right w:val="nil"/>
            </w:tcBorders>
            <w:vAlign w:val="center"/>
          </w:tcPr>
          <w:p w14:paraId="64E2653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40.89</w:t>
            </w:r>
          </w:p>
        </w:tc>
        <w:tc>
          <w:tcPr>
            <w:tcW w:w="407" w:type="pct"/>
            <w:tcBorders>
              <w:top w:val="nil"/>
              <w:left w:val="nil"/>
              <w:bottom w:val="nil"/>
              <w:right w:val="nil"/>
            </w:tcBorders>
            <w:vAlign w:val="center"/>
          </w:tcPr>
          <w:p w14:paraId="5C5297E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0.36</w:t>
            </w:r>
          </w:p>
        </w:tc>
        <w:tc>
          <w:tcPr>
            <w:tcW w:w="664" w:type="pct"/>
            <w:tcBorders>
              <w:top w:val="nil"/>
              <w:left w:val="nil"/>
              <w:bottom w:val="nil"/>
              <w:right w:val="nil"/>
            </w:tcBorders>
            <w:vAlign w:val="center"/>
          </w:tcPr>
          <w:p w14:paraId="679B0C8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18.48</w:t>
            </w:r>
          </w:p>
        </w:tc>
      </w:tr>
      <w:tr w:rsidR="00346982" w:rsidRPr="00346982" w14:paraId="71C2DC39" w14:textId="77777777" w:rsidTr="00346982">
        <w:trPr>
          <w:trHeight w:val="278"/>
          <w:jc w:val="center"/>
        </w:trPr>
        <w:tc>
          <w:tcPr>
            <w:tcW w:w="516" w:type="pct"/>
            <w:tcBorders>
              <w:top w:val="nil"/>
              <w:left w:val="nil"/>
              <w:bottom w:val="nil"/>
              <w:right w:val="nil"/>
            </w:tcBorders>
            <w:vAlign w:val="center"/>
          </w:tcPr>
          <w:p w14:paraId="01B2282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w:t>
            </w:r>
          </w:p>
        </w:tc>
        <w:tc>
          <w:tcPr>
            <w:tcW w:w="412" w:type="pct"/>
            <w:tcBorders>
              <w:top w:val="nil"/>
              <w:left w:val="nil"/>
              <w:bottom w:val="nil"/>
              <w:right w:val="nil"/>
            </w:tcBorders>
            <w:vAlign w:val="center"/>
          </w:tcPr>
          <w:p w14:paraId="2ABB100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9.43</w:t>
            </w:r>
          </w:p>
        </w:tc>
        <w:tc>
          <w:tcPr>
            <w:tcW w:w="449" w:type="pct"/>
            <w:tcBorders>
              <w:top w:val="nil"/>
              <w:left w:val="nil"/>
              <w:bottom w:val="nil"/>
              <w:right w:val="nil"/>
            </w:tcBorders>
            <w:vAlign w:val="center"/>
          </w:tcPr>
          <w:p w14:paraId="656378D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12.66</w:t>
            </w:r>
          </w:p>
        </w:tc>
        <w:tc>
          <w:tcPr>
            <w:tcW w:w="412" w:type="pct"/>
            <w:tcBorders>
              <w:top w:val="nil"/>
              <w:left w:val="nil"/>
              <w:bottom w:val="nil"/>
              <w:right w:val="nil"/>
            </w:tcBorders>
            <w:vAlign w:val="center"/>
          </w:tcPr>
          <w:p w14:paraId="341F06A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64.65</w:t>
            </w:r>
          </w:p>
        </w:tc>
        <w:tc>
          <w:tcPr>
            <w:tcW w:w="441" w:type="pct"/>
            <w:tcBorders>
              <w:top w:val="nil"/>
              <w:left w:val="nil"/>
              <w:bottom w:val="nil"/>
              <w:right w:val="nil"/>
            </w:tcBorders>
            <w:vAlign w:val="center"/>
          </w:tcPr>
          <w:p w14:paraId="254FF46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13.25</w:t>
            </w:r>
          </w:p>
        </w:tc>
        <w:tc>
          <w:tcPr>
            <w:tcW w:w="444" w:type="pct"/>
            <w:tcBorders>
              <w:top w:val="nil"/>
              <w:left w:val="nil"/>
              <w:bottom w:val="nil"/>
              <w:right w:val="nil"/>
            </w:tcBorders>
            <w:vAlign w:val="center"/>
          </w:tcPr>
          <w:p w14:paraId="075F562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38.01</w:t>
            </w:r>
          </w:p>
        </w:tc>
        <w:tc>
          <w:tcPr>
            <w:tcW w:w="403" w:type="pct"/>
            <w:tcBorders>
              <w:top w:val="nil"/>
              <w:left w:val="nil"/>
              <w:bottom w:val="nil"/>
              <w:right w:val="nil"/>
            </w:tcBorders>
            <w:vAlign w:val="center"/>
          </w:tcPr>
          <w:p w14:paraId="6F77F37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5.10</w:t>
            </w:r>
          </w:p>
        </w:tc>
        <w:tc>
          <w:tcPr>
            <w:tcW w:w="405" w:type="pct"/>
            <w:tcBorders>
              <w:top w:val="nil"/>
              <w:left w:val="nil"/>
              <w:bottom w:val="nil"/>
              <w:right w:val="nil"/>
            </w:tcBorders>
            <w:vAlign w:val="center"/>
          </w:tcPr>
          <w:p w14:paraId="67C5423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0.57</w:t>
            </w:r>
          </w:p>
        </w:tc>
        <w:tc>
          <w:tcPr>
            <w:tcW w:w="447" w:type="pct"/>
            <w:tcBorders>
              <w:top w:val="nil"/>
              <w:left w:val="nil"/>
              <w:bottom w:val="nil"/>
              <w:right w:val="nil"/>
            </w:tcBorders>
            <w:vAlign w:val="center"/>
          </w:tcPr>
          <w:p w14:paraId="158A84E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38.47</w:t>
            </w:r>
          </w:p>
        </w:tc>
        <w:tc>
          <w:tcPr>
            <w:tcW w:w="407" w:type="pct"/>
            <w:tcBorders>
              <w:top w:val="nil"/>
              <w:left w:val="nil"/>
              <w:bottom w:val="nil"/>
              <w:right w:val="nil"/>
            </w:tcBorders>
            <w:vAlign w:val="center"/>
          </w:tcPr>
          <w:p w14:paraId="7E19B05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0.32</w:t>
            </w:r>
          </w:p>
        </w:tc>
        <w:tc>
          <w:tcPr>
            <w:tcW w:w="664" w:type="pct"/>
            <w:tcBorders>
              <w:top w:val="nil"/>
              <w:left w:val="nil"/>
              <w:bottom w:val="nil"/>
              <w:right w:val="nil"/>
            </w:tcBorders>
            <w:vAlign w:val="center"/>
          </w:tcPr>
          <w:p w14:paraId="3A8DECD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14.51</w:t>
            </w:r>
          </w:p>
        </w:tc>
      </w:tr>
      <w:tr w:rsidR="00346982" w:rsidRPr="00346982" w14:paraId="1242ECB0" w14:textId="77777777" w:rsidTr="00346982">
        <w:trPr>
          <w:trHeight w:val="270"/>
          <w:jc w:val="center"/>
        </w:trPr>
        <w:tc>
          <w:tcPr>
            <w:tcW w:w="516" w:type="pct"/>
            <w:tcBorders>
              <w:top w:val="nil"/>
              <w:left w:val="nil"/>
              <w:bottom w:val="nil"/>
              <w:right w:val="nil"/>
            </w:tcBorders>
            <w:vAlign w:val="center"/>
          </w:tcPr>
          <w:p w14:paraId="5B876FC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19</w:t>
            </w:r>
          </w:p>
        </w:tc>
        <w:tc>
          <w:tcPr>
            <w:tcW w:w="412" w:type="pct"/>
            <w:tcBorders>
              <w:top w:val="nil"/>
              <w:left w:val="nil"/>
              <w:bottom w:val="nil"/>
              <w:right w:val="nil"/>
            </w:tcBorders>
            <w:vAlign w:val="center"/>
          </w:tcPr>
          <w:p w14:paraId="75D8869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9.86</w:t>
            </w:r>
          </w:p>
        </w:tc>
        <w:tc>
          <w:tcPr>
            <w:tcW w:w="449" w:type="pct"/>
            <w:tcBorders>
              <w:top w:val="nil"/>
              <w:left w:val="nil"/>
              <w:bottom w:val="nil"/>
              <w:right w:val="nil"/>
            </w:tcBorders>
            <w:vAlign w:val="center"/>
          </w:tcPr>
          <w:p w14:paraId="0EB0A33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1.21</w:t>
            </w:r>
          </w:p>
        </w:tc>
        <w:tc>
          <w:tcPr>
            <w:tcW w:w="412" w:type="pct"/>
            <w:tcBorders>
              <w:top w:val="nil"/>
              <w:left w:val="nil"/>
              <w:bottom w:val="nil"/>
              <w:right w:val="nil"/>
            </w:tcBorders>
            <w:vAlign w:val="center"/>
          </w:tcPr>
          <w:p w14:paraId="2971D30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74.67</w:t>
            </w:r>
          </w:p>
        </w:tc>
        <w:tc>
          <w:tcPr>
            <w:tcW w:w="441" w:type="pct"/>
            <w:tcBorders>
              <w:top w:val="nil"/>
              <w:left w:val="nil"/>
              <w:bottom w:val="nil"/>
              <w:right w:val="nil"/>
            </w:tcBorders>
            <w:vAlign w:val="center"/>
          </w:tcPr>
          <w:p w14:paraId="0EB9F59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14.25</w:t>
            </w:r>
          </w:p>
        </w:tc>
        <w:tc>
          <w:tcPr>
            <w:tcW w:w="444" w:type="pct"/>
            <w:tcBorders>
              <w:top w:val="nil"/>
              <w:left w:val="nil"/>
              <w:bottom w:val="nil"/>
              <w:right w:val="nil"/>
            </w:tcBorders>
            <w:vAlign w:val="center"/>
          </w:tcPr>
          <w:p w14:paraId="0F10266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44.57</w:t>
            </w:r>
          </w:p>
        </w:tc>
        <w:tc>
          <w:tcPr>
            <w:tcW w:w="403" w:type="pct"/>
            <w:tcBorders>
              <w:top w:val="nil"/>
              <w:left w:val="nil"/>
              <w:bottom w:val="nil"/>
              <w:right w:val="nil"/>
            </w:tcBorders>
            <w:vAlign w:val="center"/>
          </w:tcPr>
          <w:p w14:paraId="799D46B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5.86</w:t>
            </w:r>
          </w:p>
        </w:tc>
        <w:tc>
          <w:tcPr>
            <w:tcW w:w="405" w:type="pct"/>
            <w:tcBorders>
              <w:top w:val="nil"/>
              <w:left w:val="nil"/>
              <w:bottom w:val="nil"/>
              <w:right w:val="nil"/>
            </w:tcBorders>
            <w:vAlign w:val="center"/>
          </w:tcPr>
          <w:p w14:paraId="21AF589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0.13</w:t>
            </w:r>
          </w:p>
        </w:tc>
        <w:tc>
          <w:tcPr>
            <w:tcW w:w="447" w:type="pct"/>
            <w:tcBorders>
              <w:top w:val="nil"/>
              <w:left w:val="nil"/>
              <w:bottom w:val="nil"/>
              <w:right w:val="nil"/>
            </w:tcBorders>
            <w:vAlign w:val="center"/>
          </w:tcPr>
          <w:p w14:paraId="5EE5640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44.87</w:t>
            </w:r>
          </w:p>
        </w:tc>
        <w:tc>
          <w:tcPr>
            <w:tcW w:w="407" w:type="pct"/>
            <w:tcBorders>
              <w:top w:val="nil"/>
              <w:left w:val="nil"/>
              <w:bottom w:val="nil"/>
              <w:right w:val="nil"/>
            </w:tcBorders>
            <w:vAlign w:val="center"/>
          </w:tcPr>
          <w:p w14:paraId="213C3B7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0.34</w:t>
            </w:r>
          </w:p>
        </w:tc>
        <w:tc>
          <w:tcPr>
            <w:tcW w:w="664" w:type="pct"/>
            <w:tcBorders>
              <w:top w:val="nil"/>
              <w:left w:val="nil"/>
              <w:bottom w:val="nil"/>
              <w:right w:val="nil"/>
            </w:tcBorders>
            <w:vAlign w:val="center"/>
          </w:tcPr>
          <w:p w14:paraId="1EC1F78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18.40</w:t>
            </w:r>
          </w:p>
        </w:tc>
      </w:tr>
      <w:tr w:rsidR="00346982" w:rsidRPr="00346982" w14:paraId="69757A25" w14:textId="77777777" w:rsidTr="00346982">
        <w:trPr>
          <w:trHeight w:val="270"/>
          <w:jc w:val="center"/>
        </w:trPr>
        <w:tc>
          <w:tcPr>
            <w:tcW w:w="516" w:type="pct"/>
            <w:tcBorders>
              <w:top w:val="nil"/>
              <w:left w:val="nil"/>
              <w:bottom w:val="nil"/>
              <w:right w:val="nil"/>
            </w:tcBorders>
            <w:vAlign w:val="center"/>
          </w:tcPr>
          <w:p w14:paraId="2C7ED73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20</w:t>
            </w:r>
          </w:p>
        </w:tc>
        <w:tc>
          <w:tcPr>
            <w:tcW w:w="412" w:type="pct"/>
            <w:tcBorders>
              <w:top w:val="nil"/>
              <w:left w:val="nil"/>
              <w:bottom w:val="nil"/>
              <w:right w:val="nil"/>
            </w:tcBorders>
            <w:vAlign w:val="center"/>
          </w:tcPr>
          <w:p w14:paraId="1912D9B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10.63</w:t>
            </w:r>
          </w:p>
        </w:tc>
        <w:tc>
          <w:tcPr>
            <w:tcW w:w="449" w:type="pct"/>
            <w:tcBorders>
              <w:top w:val="nil"/>
              <w:left w:val="nil"/>
              <w:bottom w:val="nil"/>
              <w:right w:val="nil"/>
            </w:tcBorders>
            <w:vAlign w:val="center"/>
          </w:tcPr>
          <w:p w14:paraId="0337ADB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2.05</w:t>
            </w:r>
          </w:p>
        </w:tc>
        <w:tc>
          <w:tcPr>
            <w:tcW w:w="412" w:type="pct"/>
            <w:tcBorders>
              <w:top w:val="nil"/>
              <w:left w:val="nil"/>
              <w:bottom w:val="nil"/>
              <w:right w:val="nil"/>
            </w:tcBorders>
            <w:vAlign w:val="center"/>
          </w:tcPr>
          <w:p w14:paraId="0A10ADC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71.84</w:t>
            </w:r>
          </w:p>
        </w:tc>
        <w:tc>
          <w:tcPr>
            <w:tcW w:w="441" w:type="pct"/>
            <w:tcBorders>
              <w:top w:val="nil"/>
              <w:left w:val="nil"/>
              <w:bottom w:val="nil"/>
              <w:right w:val="nil"/>
            </w:tcBorders>
            <w:vAlign w:val="center"/>
          </w:tcPr>
          <w:p w14:paraId="3CE6C89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15.48</w:t>
            </w:r>
          </w:p>
        </w:tc>
        <w:tc>
          <w:tcPr>
            <w:tcW w:w="444" w:type="pct"/>
            <w:tcBorders>
              <w:top w:val="nil"/>
              <w:left w:val="nil"/>
              <w:bottom w:val="nil"/>
              <w:right w:val="nil"/>
            </w:tcBorders>
            <w:vAlign w:val="center"/>
          </w:tcPr>
          <w:p w14:paraId="7CAB176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42.66</w:t>
            </w:r>
          </w:p>
        </w:tc>
        <w:tc>
          <w:tcPr>
            <w:tcW w:w="403" w:type="pct"/>
            <w:tcBorders>
              <w:top w:val="nil"/>
              <w:left w:val="nil"/>
              <w:bottom w:val="nil"/>
              <w:right w:val="nil"/>
            </w:tcBorders>
            <w:vAlign w:val="center"/>
          </w:tcPr>
          <w:p w14:paraId="4AAD95F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5.77</w:t>
            </w:r>
          </w:p>
        </w:tc>
        <w:tc>
          <w:tcPr>
            <w:tcW w:w="405" w:type="pct"/>
            <w:tcBorders>
              <w:top w:val="nil"/>
              <w:left w:val="nil"/>
              <w:bottom w:val="nil"/>
              <w:right w:val="nil"/>
            </w:tcBorders>
            <w:vAlign w:val="center"/>
          </w:tcPr>
          <w:p w14:paraId="005E425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0.46</w:t>
            </w:r>
          </w:p>
        </w:tc>
        <w:tc>
          <w:tcPr>
            <w:tcW w:w="447" w:type="pct"/>
            <w:tcBorders>
              <w:top w:val="nil"/>
              <w:left w:val="nil"/>
              <w:bottom w:val="nil"/>
              <w:right w:val="nil"/>
            </w:tcBorders>
            <w:vAlign w:val="center"/>
          </w:tcPr>
          <w:p w14:paraId="3B243D9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44.73</w:t>
            </w:r>
          </w:p>
        </w:tc>
        <w:tc>
          <w:tcPr>
            <w:tcW w:w="407" w:type="pct"/>
            <w:tcBorders>
              <w:top w:val="nil"/>
              <w:left w:val="nil"/>
              <w:bottom w:val="nil"/>
              <w:right w:val="nil"/>
            </w:tcBorders>
            <w:vAlign w:val="center"/>
          </w:tcPr>
          <w:p w14:paraId="785B2A2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0.37</w:t>
            </w:r>
          </w:p>
        </w:tc>
        <w:tc>
          <w:tcPr>
            <w:tcW w:w="664" w:type="pct"/>
            <w:tcBorders>
              <w:top w:val="nil"/>
              <w:left w:val="nil"/>
              <w:bottom w:val="nil"/>
              <w:right w:val="nil"/>
            </w:tcBorders>
            <w:vAlign w:val="center"/>
          </w:tcPr>
          <w:p w14:paraId="5C6D557D"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16.75</w:t>
            </w:r>
          </w:p>
        </w:tc>
      </w:tr>
      <w:tr w:rsidR="00346982" w:rsidRPr="00346982" w14:paraId="7F70B582" w14:textId="77777777" w:rsidTr="00346982">
        <w:trPr>
          <w:trHeight w:val="270"/>
          <w:jc w:val="center"/>
        </w:trPr>
        <w:tc>
          <w:tcPr>
            <w:tcW w:w="516" w:type="pct"/>
            <w:tcBorders>
              <w:top w:val="nil"/>
              <w:left w:val="nil"/>
              <w:bottom w:val="nil"/>
              <w:right w:val="nil"/>
            </w:tcBorders>
            <w:vAlign w:val="center"/>
          </w:tcPr>
          <w:p w14:paraId="5ADBC03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21</w:t>
            </w:r>
          </w:p>
        </w:tc>
        <w:tc>
          <w:tcPr>
            <w:tcW w:w="412" w:type="pct"/>
            <w:tcBorders>
              <w:top w:val="nil"/>
              <w:left w:val="nil"/>
              <w:bottom w:val="nil"/>
              <w:right w:val="nil"/>
            </w:tcBorders>
            <w:vAlign w:val="center"/>
          </w:tcPr>
          <w:p w14:paraId="3B69277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8.83</w:t>
            </w:r>
          </w:p>
        </w:tc>
        <w:tc>
          <w:tcPr>
            <w:tcW w:w="449" w:type="pct"/>
            <w:tcBorders>
              <w:top w:val="nil"/>
              <w:left w:val="nil"/>
              <w:bottom w:val="nil"/>
              <w:right w:val="nil"/>
            </w:tcBorders>
            <w:vAlign w:val="center"/>
          </w:tcPr>
          <w:p w14:paraId="4C1AD56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9.42</w:t>
            </w:r>
          </w:p>
        </w:tc>
        <w:tc>
          <w:tcPr>
            <w:tcW w:w="412" w:type="pct"/>
            <w:tcBorders>
              <w:top w:val="nil"/>
              <w:left w:val="nil"/>
              <w:bottom w:val="nil"/>
              <w:right w:val="nil"/>
            </w:tcBorders>
            <w:vAlign w:val="center"/>
          </w:tcPr>
          <w:p w14:paraId="3C79582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64.33</w:t>
            </w:r>
          </w:p>
        </w:tc>
        <w:tc>
          <w:tcPr>
            <w:tcW w:w="441" w:type="pct"/>
            <w:tcBorders>
              <w:top w:val="nil"/>
              <w:left w:val="nil"/>
              <w:bottom w:val="nil"/>
              <w:right w:val="nil"/>
            </w:tcBorders>
            <w:vAlign w:val="center"/>
          </w:tcPr>
          <w:p w14:paraId="1637056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17.42</w:t>
            </w:r>
          </w:p>
        </w:tc>
        <w:tc>
          <w:tcPr>
            <w:tcW w:w="444" w:type="pct"/>
            <w:tcBorders>
              <w:top w:val="nil"/>
              <w:left w:val="nil"/>
              <w:bottom w:val="nil"/>
              <w:right w:val="nil"/>
            </w:tcBorders>
            <w:vAlign w:val="center"/>
          </w:tcPr>
          <w:p w14:paraId="57D69C8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41.02</w:t>
            </w:r>
          </w:p>
        </w:tc>
        <w:tc>
          <w:tcPr>
            <w:tcW w:w="403" w:type="pct"/>
            <w:tcBorders>
              <w:top w:val="nil"/>
              <w:left w:val="nil"/>
              <w:bottom w:val="nil"/>
              <w:right w:val="nil"/>
            </w:tcBorders>
            <w:vAlign w:val="center"/>
          </w:tcPr>
          <w:p w14:paraId="5F3FC0A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5.22</w:t>
            </w:r>
          </w:p>
        </w:tc>
        <w:tc>
          <w:tcPr>
            <w:tcW w:w="405" w:type="pct"/>
            <w:tcBorders>
              <w:top w:val="nil"/>
              <w:left w:val="nil"/>
              <w:bottom w:val="nil"/>
              <w:right w:val="nil"/>
            </w:tcBorders>
            <w:vAlign w:val="center"/>
          </w:tcPr>
          <w:p w14:paraId="2BCED02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0.43</w:t>
            </w:r>
          </w:p>
        </w:tc>
        <w:tc>
          <w:tcPr>
            <w:tcW w:w="447" w:type="pct"/>
            <w:tcBorders>
              <w:top w:val="nil"/>
              <w:left w:val="nil"/>
              <w:bottom w:val="nil"/>
              <w:right w:val="nil"/>
            </w:tcBorders>
            <w:vAlign w:val="center"/>
          </w:tcPr>
          <w:p w14:paraId="38149AA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40.83</w:t>
            </w:r>
          </w:p>
        </w:tc>
        <w:tc>
          <w:tcPr>
            <w:tcW w:w="407" w:type="pct"/>
            <w:tcBorders>
              <w:top w:val="nil"/>
              <w:left w:val="nil"/>
              <w:bottom w:val="nil"/>
              <w:right w:val="nil"/>
            </w:tcBorders>
            <w:vAlign w:val="center"/>
          </w:tcPr>
          <w:p w14:paraId="097D9F6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0.34</w:t>
            </w:r>
          </w:p>
        </w:tc>
        <w:tc>
          <w:tcPr>
            <w:tcW w:w="664" w:type="pct"/>
            <w:tcBorders>
              <w:top w:val="nil"/>
              <w:left w:val="nil"/>
              <w:bottom w:val="nil"/>
              <w:right w:val="nil"/>
            </w:tcBorders>
            <w:vAlign w:val="center"/>
          </w:tcPr>
          <w:p w14:paraId="33592F1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16.29</w:t>
            </w:r>
          </w:p>
        </w:tc>
      </w:tr>
      <w:tr w:rsidR="00346982" w:rsidRPr="00346982" w14:paraId="4689A47E" w14:textId="77777777" w:rsidTr="00346982">
        <w:trPr>
          <w:trHeight w:val="335"/>
          <w:jc w:val="center"/>
        </w:trPr>
        <w:tc>
          <w:tcPr>
            <w:tcW w:w="516" w:type="pct"/>
            <w:tcBorders>
              <w:top w:val="nil"/>
              <w:left w:val="nil"/>
              <w:bottom w:val="nil"/>
              <w:right w:val="nil"/>
            </w:tcBorders>
            <w:vAlign w:val="center"/>
          </w:tcPr>
          <w:p w14:paraId="21F03DD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均值</w:t>
            </w:r>
          </w:p>
        </w:tc>
        <w:tc>
          <w:tcPr>
            <w:tcW w:w="412" w:type="pct"/>
            <w:tcBorders>
              <w:top w:val="nil"/>
              <w:left w:val="nil"/>
              <w:bottom w:val="nil"/>
              <w:right w:val="nil"/>
            </w:tcBorders>
            <w:vAlign w:val="center"/>
          </w:tcPr>
          <w:p w14:paraId="1881B75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8.82</w:t>
            </w:r>
          </w:p>
        </w:tc>
        <w:tc>
          <w:tcPr>
            <w:tcW w:w="449" w:type="pct"/>
            <w:tcBorders>
              <w:top w:val="nil"/>
              <w:left w:val="nil"/>
              <w:bottom w:val="nil"/>
              <w:right w:val="nil"/>
            </w:tcBorders>
            <w:vAlign w:val="center"/>
          </w:tcPr>
          <w:p w14:paraId="4362D0E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5.41</w:t>
            </w:r>
          </w:p>
        </w:tc>
        <w:tc>
          <w:tcPr>
            <w:tcW w:w="412" w:type="pct"/>
            <w:tcBorders>
              <w:top w:val="nil"/>
              <w:left w:val="nil"/>
              <w:bottom w:val="nil"/>
              <w:right w:val="nil"/>
            </w:tcBorders>
            <w:vAlign w:val="center"/>
          </w:tcPr>
          <w:p w14:paraId="40F5216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70.47</w:t>
            </w:r>
          </w:p>
        </w:tc>
        <w:tc>
          <w:tcPr>
            <w:tcW w:w="441" w:type="pct"/>
            <w:tcBorders>
              <w:top w:val="nil"/>
              <w:left w:val="nil"/>
              <w:bottom w:val="nil"/>
              <w:right w:val="nil"/>
            </w:tcBorders>
            <w:vAlign w:val="center"/>
          </w:tcPr>
          <w:p w14:paraId="170E82E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15.30</w:t>
            </w:r>
          </w:p>
        </w:tc>
        <w:tc>
          <w:tcPr>
            <w:tcW w:w="444" w:type="pct"/>
            <w:tcBorders>
              <w:top w:val="nil"/>
              <w:left w:val="nil"/>
              <w:bottom w:val="nil"/>
              <w:right w:val="nil"/>
            </w:tcBorders>
            <w:vAlign w:val="center"/>
          </w:tcPr>
          <w:p w14:paraId="22C154C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44.02</w:t>
            </w:r>
          </w:p>
        </w:tc>
        <w:tc>
          <w:tcPr>
            <w:tcW w:w="403" w:type="pct"/>
            <w:tcBorders>
              <w:top w:val="nil"/>
              <w:left w:val="nil"/>
              <w:bottom w:val="nil"/>
              <w:right w:val="nil"/>
            </w:tcBorders>
            <w:vAlign w:val="center"/>
          </w:tcPr>
          <w:p w14:paraId="6DDF17BC"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6.30</w:t>
            </w:r>
          </w:p>
        </w:tc>
        <w:tc>
          <w:tcPr>
            <w:tcW w:w="405" w:type="pct"/>
            <w:tcBorders>
              <w:top w:val="nil"/>
              <w:left w:val="nil"/>
              <w:bottom w:val="nil"/>
              <w:right w:val="nil"/>
            </w:tcBorders>
            <w:vAlign w:val="center"/>
          </w:tcPr>
          <w:p w14:paraId="229E6A4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1.72</w:t>
            </w:r>
          </w:p>
        </w:tc>
        <w:tc>
          <w:tcPr>
            <w:tcW w:w="447" w:type="pct"/>
            <w:tcBorders>
              <w:top w:val="nil"/>
              <w:left w:val="nil"/>
              <w:bottom w:val="nil"/>
              <w:right w:val="nil"/>
            </w:tcBorders>
            <w:vAlign w:val="center"/>
          </w:tcPr>
          <w:p w14:paraId="325FFDA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42.44</w:t>
            </w:r>
          </w:p>
        </w:tc>
        <w:tc>
          <w:tcPr>
            <w:tcW w:w="407" w:type="pct"/>
            <w:tcBorders>
              <w:top w:val="nil"/>
              <w:left w:val="nil"/>
              <w:bottom w:val="nil"/>
              <w:right w:val="nil"/>
            </w:tcBorders>
            <w:vAlign w:val="center"/>
          </w:tcPr>
          <w:p w14:paraId="2793FEE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0.22</w:t>
            </w:r>
          </w:p>
        </w:tc>
        <w:tc>
          <w:tcPr>
            <w:tcW w:w="664" w:type="pct"/>
            <w:tcBorders>
              <w:top w:val="nil"/>
              <w:left w:val="nil"/>
              <w:bottom w:val="nil"/>
              <w:right w:val="nil"/>
            </w:tcBorders>
            <w:vAlign w:val="center"/>
          </w:tcPr>
          <w:p w14:paraId="73A61BE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17.05</w:t>
            </w:r>
          </w:p>
        </w:tc>
      </w:tr>
      <w:tr w:rsidR="00346982" w:rsidRPr="00346982" w14:paraId="30FAD338" w14:textId="77777777" w:rsidTr="00346982">
        <w:trPr>
          <w:trHeight w:val="251"/>
          <w:jc w:val="center"/>
        </w:trPr>
        <w:tc>
          <w:tcPr>
            <w:tcW w:w="516" w:type="pct"/>
            <w:tcBorders>
              <w:top w:val="nil"/>
              <w:left w:val="nil"/>
              <w:bottom w:val="single" w:sz="12" w:space="0" w:color="auto"/>
              <w:right w:val="nil"/>
            </w:tcBorders>
            <w:vAlign w:val="center"/>
          </w:tcPr>
          <w:p w14:paraId="2978508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无烟煤</w:t>
            </w:r>
          </w:p>
        </w:tc>
        <w:tc>
          <w:tcPr>
            <w:tcW w:w="412" w:type="pct"/>
            <w:tcBorders>
              <w:top w:val="nil"/>
              <w:left w:val="nil"/>
              <w:bottom w:val="single" w:sz="12" w:space="0" w:color="auto"/>
              <w:right w:val="nil"/>
            </w:tcBorders>
            <w:vAlign w:val="center"/>
          </w:tcPr>
          <w:p w14:paraId="07B58A2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6.48</w:t>
            </w:r>
          </w:p>
        </w:tc>
        <w:tc>
          <w:tcPr>
            <w:tcW w:w="449" w:type="pct"/>
            <w:tcBorders>
              <w:top w:val="nil"/>
              <w:left w:val="nil"/>
              <w:bottom w:val="single" w:sz="12" w:space="0" w:color="auto"/>
              <w:right w:val="nil"/>
            </w:tcBorders>
            <w:vAlign w:val="center"/>
          </w:tcPr>
          <w:p w14:paraId="5A81EED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20.09</w:t>
            </w:r>
          </w:p>
        </w:tc>
        <w:tc>
          <w:tcPr>
            <w:tcW w:w="412" w:type="pct"/>
            <w:tcBorders>
              <w:top w:val="nil"/>
              <w:left w:val="nil"/>
              <w:bottom w:val="single" w:sz="12" w:space="0" w:color="auto"/>
              <w:right w:val="nil"/>
            </w:tcBorders>
            <w:vAlign w:val="center"/>
          </w:tcPr>
          <w:p w14:paraId="45B4341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18.18</w:t>
            </w:r>
          </w:p>
        </w:tc>
        <w:tc>
          <w:tcPr>
            <w:tcW w:w="441" w:type="pct"/>
            <w:tcBorders>
              <w:top w:val="nil"/>
              <w:left w:val="nil"/>
              <w:bottom w:val="single" w:sz="12" w:space="0" w:color="auto"/>
              <w:right w:val="nil"/>
            </w:tcBorders>
            <w:vAlign w:val="center"/>
          </w:tcPr>
          <w:p w14:paraId="2D3F914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55.25</w:t>
            </w:r>
          </w:p>
        </w:tc>
        <w:tc>
          <w:tcPr>
            <w:tcW w:w="444" w:type="pct"/>
            <w:tcBorders>
              <w:top w:val="nil"/>
              <w:left w:val="nil"/>
              <w:bottom w:val="single" w:sz="12" w:space="0" w:color="auto"/>
              <w:right w:val="nil"/>
            </w:tcBorders>
            <w:vAlign w:val="center"/>
          </w:tcPr>
          <w:p w14:paraId="7AB6183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78.78</w:t>
            </w:r>
          </w:p>
        </w:tc>
        <w:tc>
          <w:tcPr>
            <w:tcW w:w="403" w:type="pct"/>
            <w:tcBorders>
              <w:top w:val="nil"/>
              <w:left w:val="nil"/>
              <w:bottom w:val="single" w:sz="12" w:space="0" w:color="auto"/>
              <w:right w:val="nil"/>
            </w:tcBorders>
            <w:vAlign w:val="center"/>
          </w:tcPr>
          <w:p w14:paraId="36CC606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2.75</w:t>
            </w:r>
          </w:p>
        </w:tc>
        <w:tc>
          <w:tcPr>
            <w:tcW w:w="405" w:type="pct"/>
            <w:tcBorders>
              <w:top w:val="nil"/>
              <w:left w:val="nil"/>
              <w:bottom w:val="single" w:sz="12" w:space="0" w:color="auto"/>
              <w:right w:val="nil"/>
            </w:tcBorders>
            <w:vAlign w:val="center"/>
          </w:tcPr>
          <w:p w14:paraId="599C437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1.47</w:t>
            </w:r>
          </w:p>
        </w:tc>
        <w:tc>
          <w:tcPr>
            <w:tcW w:w="447" w:type="pct"/>
            <w:tcBorders>
              <w:top w:val="nil"/>
              <w:left w:val="nil"/>
              <w:bottom w:val="single" w:sz="12" w:space="0" w:color="auto"/>
              <w:right w:val="nil"/>
            </w:tcBorders>
            <w:vAlign w:val="center"/>
          </w:tcPr>
          <w:p w14:paraId="5AD3F39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12.27</w:t>
            </w:r>
          </w:p>
        </w:tc>
        <w:tc>
          <w:tcPr>
            <w:tcW w:w="407" w:type="pct"/>
            <w:tcBorders>
              <w:top w:val="nil"/>
              <w:left w:val="nil"/>
              <w:bottom w:val="single" w:sz="12" w:space="0" w:color="auto"/>
              <w:right w:val="nil"/>
            </w:tcBorders>
            <w:vAlign w:val="center"/>
          </w:tcPr>
          <w:p w14:paraId="10356BE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0.75</w:t>
            </w:r>
          </w:p>
        </w:tc>
        <w:tc>
          <w:tcPr>
            <w:tcW w:w="664" w:type="pct"/>
            <w:tcBorders>
              <w:top w:val="nil"/>
              <w:left w:val="nil"/>
              <w:bottom w:val="single" w:sz="12" w:space="0" w:color="auto"/>
              <w:right w:val="nil"/>
            </w:tcBorders>
            <w:vAlign w:val="center"/>
          </w:tcPr>
          <w:p w14:paraId="6C7A758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snapToGrid w:val="0"/>
                <w:color w:val="000000"/>
                <w:kern w:val="0"/>
                <w:sz w:val="24"/>
              </w:rPr>
            </w:pPr>
            <w:r w:rsidRPr="00346982">
              <w:rPr>
                <w:snapToGrid w:val="0"/>
                <w:color w:val="000000"/>
                <w:kern w:val="0"/>
                <w:sz w:val="24"/>
              </w:rPr>
              <w:t>28.12</w:t>
            </w:r>
          </w:p>
        </w:tc>
      </w:tr>
    </w:tbl>
    <w:p w14:paraId="268C67E1" w14:textId="77777777" w:rsidR="00346982" w:rsidRPr="00346982" w:rsidRDefault="00346982" w:rsidP="00084192">
      <w:pPr>
        <w:pStyle w:val="affb"/>
        <w:spacing w:line="540" w:lineRule="exact"/>
        <w:ind w:firstLine="640"/>
        <w:rPr>
          <w:rFonts w:eastAsia="仿宋_GB2312" w:cs="Times New Roman"/>
          <w:snapToGrid/>
          <w:color w:val="auto"/>
          <w:kern w:val="2"/>
          <w:sz w:val="32"/>
          <w:szCs w:val="24"/>
        </w:rPr>
      </w:pPr>
      <w:r w:rsidRPr="00346982">
        <w:rPr>
          <w:rFonts w:eastAsia="仿宋_GB2312" w:cs="Times New Roman" w:hint="eastAsia"/>
          <w:snapToGrid/>
          <w:color w:val="auto"/>
          <w:kern w:val="2"/>
          <w:sz w:val="32"/>
          <w:szCs w:val="24"/>
        </w:rPr>
        <w:t>元素分析结果显示，</w:t>
      </w:r>
      <w:r w:rsidRPr="00346982">
        <w:rPr>
          <w:rFonts w:eastAsia="仿宋_GB2312" w:cs="Times New Roman" w:hint="eastAsia"/>
          <w:snapToGrid/>
          <w:color w:val="auto"/>
          <w:kern w:val="2"/>
          <w:sz w:val="32"/>
          <w:szCs w:val="24"/>
        </w:rPr>
        <w:t>21</w:t>
      </w:r>
      <w:r w:rsidRPr="00346982">
        <w:rPr>
          <w:rFonts w:eastAsia="仿宋_GB2312" w:cs="Times New Roman" w:hint="eastAsia"/>
          <w:snapToGrid/>
          <w:color w:val="auto"/>
          <w:kern w:val="2"/>
          <w:sz w:val="32"/>
          <w:szCs w:val="24"/>
        </w:rPr>
        <w:t>个生物质成燃料样品的</w:t>
      </w:r>
      <w:r w:rsidRPr="00346982">
        <w:rPr>
          <w:rFonts w:eastAsia="仿宋_GB2312" w:cs="Times New Roman" w:hint="eastAsia"/>
          <w:snapToGrid/>
          <w:color w:val="auto"/>
          <w:kern w:val="2"/>
          <w:sz w:val="32"/>
          <w:szCs w:val="24"/>
        </w:rPr>
        <w:t>C</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H</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N</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O</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S</w:t>
      </w:r>
      <w:r w:rsidRPr="00346982">
        <w:rPr>
          <w:rFonts w:eastAsia="仿宋_GB2312" w:cs="Times New Roman" w:hint="eastAsia"/>
          <w:snapToGrid/>
          <w:color w:val="auto"/>
          <w:kern w:val="2"/>
          <w:sz w:val="32"/>
          <w:szCs w:val="24"/>
        </w:rPr>
        <w:t>元素平均含量为</w:t>
      </w:r>
      <w:r w:rsidRPr="00346982">
        <w:rPr>
          <w:rFonts w:eastAsia="仿宋_GB2312" w:cs="Times New Roman" w:hint="eastAsia"/>
          <w:snapToGrid/>
          <w:color w:val="auto"/>
          <w:kern w:val="2"/>
          <w:sz w:val="32"/>
          <w:szCs w:val="24"/>
        </w:rPr>
        <w:t>44.02%</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6.30%</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1.72%</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42.44%</w:t>
      </w:r>
      <w:r w:rsidRPr="00346982">
        <w:rPr>
          <w:rFonts w:eastAsia="仿宋_GB2312" w:cs="Times New Roman" w:hint="eastAsia"/>
          <w:snapToGrid/>
          <w:color w:val="auto"/>
          <w:kern w:val="2"/>
          <w:sz w:val="32"/>
          <w:szCs w:val="24"/>
        </w:rPr>
        <w:t>和</w:t>
      </w:r>
      <w:r w:rsidRPr="00346982">
        <w:rPr>
          <w:rFonts w:eastAsia="仿宋_GB2312" w:cs="Times New Roman" w:hint="eastAsia"/>
          <w:snapToGrid/>
          <w:color w:val="auto"/>
          <w:kern w:val="2"/>
          <w:sz w:val="32"/>
          <w:szCs w:val="24"/>
        </w:rPr>
        <w:t>0.22%</w:t>
      </w:r>
      <w:r w:rsidRPr="00346982">
        <w:rPr>
          <w:rFonts w:eastAsia="仿宋_GB2312" w:cs="Times New Roman" w:hint="eastAsia"/>
          <w:snapToGrid/>
          <w:color w:val="auto"/>
          <w:kern w:val="2"/>
          <w:sz w:val="32"/>
          <w:szCs w:val="24"/>
        </w:rPr>
        <w:t>。与无烟煤相比，生物质成型燃料中</w:t>
      </w:r>
      <w:r w:rsidRPr="00346982">
        <w:rPr>
          <w:rFonts w:eastAsia="仿宋_GB2312" w:cs="Times New Roman" w:hint="eastAsia"/>
          <w:snapToGrid/>
          <w:color w:val="auto"/>
          <w:kern w:val="2"/>
          <w:sz w:val="32"/>
          <w:szCs w:val="24"/>
        </w:rPr>
        <w:t>H</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O</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N</w:t>
      </w:r>
      <w:r w:rsidRPr="00346982">
        <w:rPr>
          <w:rFonts w:eastAsia="仿宋_GB2312" w:cs="Times New Roman" w:hint="eastAsia"/>
          <w:snapToGrid/>
          <w:color w:val="auto"/>
          <w:kern w:val="2"/>
          <w:sz w:val="32"/>
          <w:szCs w:val="24"/>
        </w:rPr>
        <w:t>元素含量较高，而</w:t>
      </w:r>
      <w:r w:rsidRPr="00346982">
        <w:rPr>
          <w:rFonts w:eastAsia="仿宋_GB2312" w:cs="Times New Roman" w:hint="eastAsia"/>
          <w:snapToGrid/>
          <w:color w:val="auto"/>
          <w:kern w:val="2"/>
          <w:sz w:val="32"/>
          <w:szCs w:val="24"/>
        </w:rPr>
        <w:t>C</w:t>
      </w:r>
      <w:r w:rsidRPr="00346982">
        <w:rPr>
          <w:rFonts w:eastAsia="仿宋_GB2312" w:cs="Times New Roman" w:hint="eastAsia"/>
          <w:snapToGrid/>
          <w:color w:val="auto"/>
          <w:kern w:val="2"/>
          <w:sz w:val="32"/>
          <w:szCs w:val="24"/>
        </w:rPr>
        <w:t>、</w:t>
      </w:r>
      <w:r w:rsidRPr="00346982">
        <w:rPr>
          <w:rFonts w:eastAsia="仿宋_GB2312" w:cs="Times New Roman" w:hint="eastAsia"/>
          <w:snapToGrid/>
          <w:color w:val="auto"/>
          <w:kern w:val="2"/>
          <w:sz w:val="32"/>
          <w:szCs w:val="24"/>
        </w:rPr>
        <w:t>S</w:t>
      </w:r>
      <w:r w:rsidRPr="00346982">
        <w:rPr>
          <w:rFonts w:eastAsia="仿宋_GB2312" w:cs="Times New Roman" w:hint="eastAsia"/>
          <w:snapToGrid/>
          <w:color w:val="auto"/>
          <w:kern w:val="2"/>
          <w:sz w:val="32"/>
          <w:szCs w:val="24"/>
        </w:rPr>
        <w:t>元素含量普遍较低。</w:t>
      </w:r>
      <w:r w:rsidRPr="00346982">
        <w:rPr>
          <w:rFonts w:eastAsia="仿宋_GB2312" w:cs="Times New Roman" w:hint="eastAsia"/>
          <w:snapToGrid/>
          <w:color w:val="auto"/>
          <w:kern w:val="2"/>
          <w:sz w:val="32"/>
          <w:szCs w:val="24"/>
        </w:rPr>
        <w:t>14</w:t>
      </w:r>
      <w:r w:rsidRPr="00346982">
        <w:rPr>
          <w:rFonts w:eastAsia="仿宋_GB2312" w:cs="Times New Roman" w:hint="eastAsia"/>
          <w:snapToGrid/>
          <w:color w:val="auto"/>
          <w:kern w:val="2"/>
          <w:sz w:val="32"/>
          <w:szCs w:val="24"/>
        </w:rPr>
        <w:t>种生物质成型燃料中有</w:t>
      </w:r>
      <w:r w:rsidRPr="00346982">
        <w:rPr>
          <w:rFonts w:eastAsia="仿宋_GB2312" w:cs="Times New Roman" w:hint="eastAsia"/>
          <w:snapToGrid/>
          <w:color w:val="auto"/>
          <w:kern w:val="2"/>
          <w:sz w:val="32"/>
          <w:szCs w:val="24"/>
        </w:rPr>
        <w:t>8</w:t>
      </w:r>
      <w:r w:rsidRPr="00346982">
        <w:rPr>
          <w:rFonts w:eastAsia="仿宋_GB2312" w:cs="Times New Roman" w:hint="eastAsia"/>
          <w:snapToGrid/>
          <w:color w:val="auto"/>
          <w:kern w:val="2"/>
          <w:sz w:val="32"/>
          <w:szCs w:val="24"/>
        </w:rPr>
        <w:t>种的</w:t>
      </w:r>
      <w:r w:rsidRPr="00346982">
        <w:rPr>
          <w:rFonts w:eastAsia="仿宋_GB2312" w:cs="Times New Roman" w:hint="eastAsia"/>
          <w:snapToGrid/>
          <w:color w:val="auto"/>
          <w:kern w:val="2"/>
          <w:sz w:val="32"/>
          <w:szCs w:val="24"/>
        </w:rPr>
        <w:t>N</w:t>
      </w:r>
      <w:r w:rsidRPr="00346982">
        <w:rPr>
          <w:rFonts w:eastAsia="仿宋_GB2312" w:cs="Times New Roman" w:hint="eastAsia"/>
          <w:snapToGrid/>
          <w:color w:val="auto"/>
          <w:kern w:val="2"/>
          <w:sz w:val="32"/>
          <w:szCs w:val="24"/>
        </w:rPr>
        <w:t>含量大于</w:t>
      </w:r>
      <w:r w:rsidRPr="00346982">
        <w:rPr>
          <w:rFonts w:eastAsia="仿宋_GB2312" w:cs="Times New Roman" w:hint="eastAsia"/>
          <w:snapToGrid/>
          <w:color w:val="auto"/>
          <w:kern w:val="2"/>
          <w:sz w:val="32"/>
          <w:szCs w:val="24"/>
        </w:rPr>
        <w:t>3%</w:t>
      </w:r>
      <w:r w:rsidRPr="00346982">
        <w:rPr>
          <w:rFonts w:eastAsia="仿宋_GB2312" w:cs="Times New Roman" w:hint="eastAsia"/>
          <w:snapToGrid/>
          <w:color w:val="auto"/>
          <w:kern w:val="2"/>
          <w:sz w:val="32"/>
          <w:szCs w:val="24"/>
        </w:rPr>
        <w:t>，因此燃烧产生的燃料型</w:t>
      </w:r>
      <w:r w:rsidRPr="00346982">
        <w:rPr>
          <w:rFonts w:eastAsia="仿宋_GB2312" w:cs="Times New Roman" w:hint="eastAsia"/>
          <w:snapToGrid/>
          <w:color w:val="auto"/>
          <w:kern w:val="2"/>
          <w:sz w:val="32"/>
          <w:szCs w:val="24"/>
        </w:rPr>
        <w:t>NOx</w:t>
      </w:r>
      <w:r w:rsidRPr="00346982">
        <w:rPr>
          <w:rFonts w:eastAsia="仿宋_GB2312" w:cs="Times New Roman" w:hint="eastAsia"/>
          <w:snapToGrid/>
          <w:color w:val="auto"/>
          <w:kern w:val="2"/>
          <w:sz w:val="32"/>
          <w:szCs w:val="24"/>
        </w:rPr>
        <w:t>可能相对较高。</w:t>
      </w:r>
    </w:p>
    <w:p w14:paraId="004B2C79" w14:textId="00C1EB57" w:rsidR="00346982" w:rsidRPr="00346982" w:rsidRDefault="00346982" w:rsidP="00346982">
      <w:pPr>
        <w:autoSpaceDE w:val="0"/>
        <w:autoSpaceDN w:val="0"/>
        <w:adjustRightInd w:val="0"/>
        <w:spacing w:line="560" w:lineRule="exact"/>
        <w:ind w:firstLineChars="0" w:firstLine="0"/>
        <w:jc w:val="center"/>
        <w:rPr>
          <w:sz w:val="28"/>
          <w:szCs w:val="28"/>
        </w:rPr>
      </w:pPr>
      <w:r>
        <w:rPr>
          <w:sz w:val="28"/>
          <w:szCs w:val="28"/>
        </w:rPr>
        <w:t>表</w:t>
      </w:r>
      <w:r>
        <w:rPr>
          <w:rFonts w:hint="eastAsia"/>
          <w:sz w:val="28"/>
          <w:szCs w:val="28"/>
        </w:rPr>
        <w:t>8</w:t>
      </w:r>
      <w:r>
        <w:rPr>
          <w:sz w:val="28"/>
          <w:szCs w:val="28"/>
        </w:rPr>
        <w:t xml:space="preserve"> </w:t>
      </w:r>
      <w:r w:rsidRPr="00346982">
        <w:rPr>
          <w:sz w:val="28"/>
          <w:szCs w:val="28"/>
        </w:rPr>
        <w:t>林业生物质颗粒燃料分级指标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1237"/>
        <w:gridCol w:w="1682"/>
        <w:gridCol w:w="1623"/>
        <w:gridCol w:w="1623"/>
      </w:tblGrid>
      <w:tr w:rsidR="00346982" w:rsidRPr="00346982" w14:paraId="12F8FBBD" w14:textId="77777777" w:rsidTr="00084192">
        <w:trPr>
          <w:trHeight w:val="326"/>
          <w:jc w:val="center"/>
        </w:trPr>
        <w:tc>
          <w:tcPr>
            <w:tcW w:w="2314" w:type="dxa"/>
            <w:vAlign w:val="center"/>
          </w:tcPr>
          <w:p w14:paraId="5EF5BBC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项目</w:t>
            </w:r>
          </w:p>
        </w:tc>
        <w:tc>
          <w:tcPr>
            <w:tcW w:w="1237" w:type="dxa"/>
            <w:vAlign w:val="center"/>
          </w:tcPr>
          <w:p w14:paraId="1431A66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单位</w:t>
            </w:r>
          </w:p>
        </w:tc>
        <w:tc>
          <w:tcPr>
            <w:tcW w:w="1682" w:type="dxa"/>
            <w:vAlign w:val="center"/>
          </w:tcPr>
          <w:p w14:paraId="4FC87403"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w:t>
            </w:r>
            <w:r w:rsidRPr="00346982">
              <w:rPr>
                <w:rFonts w:eastAsia="宋体"/>
                <w:snapToGrid w:val="0"/>
                <w:color w:val="000000"/>
                <w:kern w:val="0"/>
                <w:sz w:val="24"/>
              </w:rPr>
              <w:t>级</w:t>
            </w:r>
          </w:p>
        </w:tc>
        <w:tc>
          <w:tcPr>
            <w:tcW w:w="1623" w:type="dxa"/>
            <w:vAlign w:val="center"/>
          </w:tcPr>
          <w:p w14:paraId="5817675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2</w:t>
            </w:r>
            <w:r w:rsidRPr="00346982">
              <w:rPr>
                <w:rFonts w:eastAsia="宋体"/>
                <w:snapToGrid w:val="0"/>
                <w:color w:val="000000"/>
                <w:kern w:val="0"/>
                <w:sz w:val="24"/>
              </w:rPr>
              <w:t>级</w:t>
            </w:r>
          </w:p>
        </w:tc>
        <w:tc>
          <w:tcPr>
            <w:tcW w:w="1623" w:type="dxa"/>
            <w:vAlign w:val="center"/>
          </w:tcPr>
          <w:p w14:paraId="14E43CB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3</w:t>
            </w:r>
            <w:r w:rsidRPr="00346982">
              <w:rPr>
                <w:rFonts w:eastAsia="宋体"/>
                <w:snapToGrid w:val="0"/>
                <w:color w:val="000000"/>
                <w:kern w:val="0"/>
                <w:sz w:val="24"/>
              </w:rPr>
              <w:t>级</w:t>
            </w:r>
          </w:p>
        </w:tc>
      </w:tr>
      <w:tr w:rsidR="00346982" w:rsidRPr="00346982" w14:paraId="05A90430" w14:textId="77777777" w:rsidTr="00084192">
        <w:trPr>
          <w:trHeight w:val="326"/>
          <w:jc w:val="center"/>
        </w:trPr>
        <w:tc>
          <w:tcPr>
            <w:tcW w:w="2314" w:type="dxa"/>
            <w:vAlign w:val="center"/>
          </w:tcPr>
          <w:p w14:paraId="74DE464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全水分（收到基）</w:t>
            </w:r>
          </w:p>
        </w:tc>
        <w:tc>
          <w:tcPr>
            <w:tcW w:w="1237" w:type="dxa"/>
            <w:vAlign w:val="center"/>
          </w:tcPr>
          <w:p w14:paraId="0E3B93C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w:t>
            </w:r>
          </w:p>
        </w:tc>
        <w:tc>
          <w:tcPr>
            <w:tcW w:w="1682" w:type="dxa"/>
            <w:vAlign w:val="center"/>
          </w:tcPr>
          <w:p w14:paraId="1EA0D56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≤8</w:t>
            </w:r>
          </w:p>
        </w:tc>
        <w:tc>
          <w:tcPr>
            <w:tcW w:w="1623" w:type="dxa"/>
            <w:vAlign w:val="center"/>
          </w:tcPr>
          <w:p w14:paraId="1B273B9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≤10</w:t>
            </w:r>
          </w:p>
        </w:tc>
        <w:tc>
          <w:tcPr>
            <w:tcW w:w="1623" w:type="dxa"/>
            <w:vAlign w:val="center"/>
          </w:tcPr>
          <w:p w14:paraId="4B25D6A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≤12</w:t>
            </w:r>
          </w:p>
        </w:tc>
      </w:tr>
      <w:tr w:rsidR="00346982" w:rsidRPr="00346982" w14:paraId="189CB49E" w14:textId="77777777" w:rsidTr="00084192">
        <w:trPr>
          <w:trHeight w:val="326"/>
          <w:jc w:val="center"/>
        </w:trPr>
        <w:tc>
          <w:tcPr>
            <w:tcW w:w="2314" w:type="dxa"/>
            <w:vAlign w:val="center"/>
          </w:tcPr>
          <w:p w14:paraId="40126367"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灰分</w:t>
            </w:r>
          </w:p>
        </w:tc>
        <w:tc>
          <w:tcPr>
            <w:tcW w:w="1237" w:type="dxa"/>
            <w:vAlign w:val="center"/>
          </w:tcPr>
          <w:p w14:paraId="1C7C4894"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w:t>
            </w:r>
          </w:p>
        </w:tc>
        <w:tc>
          <w:tcPr>
            <w:tcW w:w="1682" w:type="dxa"/>
            <w:vAlign w:val="center"/>
          </w:tcPr>
          <w:p w14:paraId="66F9074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≤1.5</w:t>
            </w:r>
          </w:p>
        </w:tc>
        <w:tc>
          <w:tcPr>
            <w:tcW w:w="1623" w:type="dxa"/>
            <w:vAlign w:val="center"/>
          </w:tcPr>
          <w:p w14:paraId="7A99A48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≤3</w:t>
            </w:r>
          </w:p>
        </w:tc>
        <w:tc>
          <w:tcPr>
            <w:tcW w:w="1623" w:type="dxa"/>
            <w:vAlign w:val="center"/>
          </w:tcPr>
          <w:p w14:paraId="734AD365"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≤6</w:t>
            </w:r>
          </w:p>
        </w:tc>
      </w:tr>
      <w:tr w:rsidR="00346982" w:rsidRPr="00346982" w14:paraId="1486E6A7" w14:textId="77777777" w:rsidTr="00084192">
        <w:trPr>
          <w:trHeight w:val="326"/>
          <w:jc w:val="center"/>
        </w:trPr>
        <w:tc>
          <w:tcPr>
            <w:tcW w:w="2314" w:type="dxa"/>
            <w:vAlign w:val="center"/>
          </w:tcPr>
          <w:p w14:paraId="4EC9CCAB"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lastRenderedPageBreak/>
              <w:t>收到基低位发热量</w:t>
            </w:r>
          </w:p>
        </w:tc>
        <w:tc>
          <w:tcPr>
            <w:tcW w:w="1237" w:type="dxa"/>
            <w:vAlign w:val="center"/>
          </w:tcPr>
          <w:p w14:paraId="2EBD8999"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MJ/kg</w:t>
            </w:r>
          </w:p>
        </w:tc>
        <w:tc>
          <w:tcPr>
            <w:tcW w:w="1682" w:type="dxa"/>
            <w:vAlign w:val="center"/>
          </w:tcPr>
          <w:p w14:paraId="3854856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≥16.9</w:t>
            </w:r>
          </w:p>
        </w:tc>
        <w:tc>
          <w:tcPr>
            <w:tcW w:w="1623" w:type="dxa"/>
            <w:vAlign w:val="center"/>
          </w:tcPr>
          <w:p w14:paraId="1D8DA911"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≥15.9</w:t>
            </w:r>
          </w:p>
        </w:tc>
        <w:tc>
          <w:tcPr>
            <w:tcW w:w="1623" w:type="dxa"/>
            <w:vAlign w:val="center"/>
          </w:tcPr>
          <w:p w14:paraId="5E9BA7F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≥14.6</w:t>
            </w:r>
          </w:p>
        </w:tc>
      </w:tr>
      <w:tr w:rsidR="00346982" w:rsidRPr="00346982" w14:paraId="1DB5F0BA" w14:textId="77777777" w:rsidTr="00084192">
        <w:trPr>
          <w:trHeight w:val="326"/>
          <w:jc w:val="center"/>
        </w:trPr>
        <w:tc>
          <w:tcPr>
            <w:tcW w:w="2314" w:type="dxa"/>
            <w:vAlign w:val="center"/>
          </w:tcPr>
          <w:p w14:paraId="164B5230"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氮（干燥基）</w:t>
            </w:r>
          </w:p>
        </w:tc>
        <w:tc>
          <w:tcPr>
            <w:tcW w:w="1237" w:type="dxa"/>
            <w:vAlign w:val="center"/>
          </w:tcPr>
          <w:p w14:paraId="629CB3C8"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w:t>
            </w:r>
          </w:p>
        </w:tc>
        <w:tc>
          <w:tcPr>
            <w:tcW w:w="1682" w:type="dxa"/>
            <w:vAlign w:val="center"/>
          </w:tcPr>
          <w:p w14:paraId="30A9F046"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≤0.3</w:t>
            </w:r>
          </w:p>
        </w:tc>
        <w:tc>
          <w:tcPr>
            <w:tcW w:w="1623" w:type="dxa"/>
            <w:vAlign w:val="center"/>
          </w:tcPr>
          <w:p w14:paraId="0273877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≤0.5</w:t>
            </w:r>
          </w:p>
        </w:tc>
        <w:tc>
          <w:tcPr>
            <w:tcW w:w="1623" w:type="dxa"/>
            <w:vAlign w:val="center"/>
          </w:tcPr>
          <w:p w14:paraId="2521D35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≤1.0</w:t>
            </w:r>
          </w:p>
        </w:tc>
      </w:tr>
      <w:tr w:rsidR="00346982" w:rsidRPr="00346982" w14:paraId="708AFCA3" w14:textId="77777777" w:rsidTr="00084192">
        <w:trPr>
          <w:trHeight w:val="326"/>
          <w:jc w:val="center"/>
        </w:trPr>
        <w:tc>
          <w:tcPr>
            <w:tcW w:w="2314" w:type="dxa"/>
            <w:vAlign w:val="center"/>
          </w:tcPr>
          <w:p w14:paraId="67E0CF8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硫（干燥基）</w:t>
            </w:r>
          </w:p>
        </w:tc>
        <w:tc>
          <w:tcPr>
            <w:tcW w:w="1237" w:type="dxa"/>
            <w:vAlign w:val="center"/>
          </w:tcPr>
          <w:p w14:paraId="36877F6F"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w:t>
            </w:r>
          </w:p>
        </w:tc>
        <w:tc>
          <w:tcPr>
            <w:tcW w:w="1682" w:type="dxa"/>
            <w:vAlign w:val="center"/>
          </w:tcPr>
          <w:p w14:paraId="0730A10A"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≤0.05</w:t>
            </w:r>
          </w:p>
        </w:tc>
        <w:tc>
          <w:tcPr>
            <w:tcW w:w="1623" w:type="dxa"/>
            <w:vAlign w:val="center"/>
          </w:tcPr>
          <w:p w14:paraId="6F9EBCB2"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≤0.08</w:t>
            </w:r>
          </w:p>
        </w:tc>
        <w:tc>
          <w:tcPr>
            <w:tcW w:w="1623" w:type="dxa"/>
            <w:vAlign w:val="center"/>
          </w:tcPr>
          <w:p w14:paraId="37B9DE1E" w14:textId="77777777" w:rsidR="00346982" w:rsidRPr="00346982" w:rsidRDefault="00346982" w:rsidP="00346982">
            <w:pPr>
              <w:widowControl/>
              <w:kinsoku w:val="0"/>
              <w:autoSpaceDE w:val="0"/>
              <w:autoSpaceDN w:val="0"/>
              <w:adjustRightInd w:val="0"/>
              <w:snapToGrid w:val="0"/>
              <w:spacing w:line="360" w:lineRule="auto"/>
              <w:ind w:firstLineChars="0" w:firstLine="0"/>
              <w:jc w:val="center"/>
              <w:textAlignment w:val="baseline"/>
              <w:rPr>
                <w:rFonts w:eastAsia="宋体"/>
                <w:snapToGrid w:val="0"/>
                <w:color w:val="000000"/>
                <w:kern w:val="0"/>
                <w:sz w:val="24"/>
              </w:rPr>
            </w:pPr>
            <w:r w:rsidRPr="00346982">
              <w:rPr>
                <w:rFonts w:eastAsia="宋体"/>
                <w:snapToGrid w:val="0"/>
                <w:color w:val="000000"/>
                <w:kern w:val="0"/>
                <w:sz w:val="24"/>
              </w:rPr>
              <w:t>≤0.1</w:t>
            </w:r>
          </w:p>
        </w:tc>
      </w:tr>
    </w:tbl>
    <w:p w14:paraId="080A29D5" w14:textId="2D1408F9" w:rsidR="00346982" w:rsidRPr="00346982" w:rsidRDefault="00346982" w:rsidP="00084192">
      <w:pPr>
        <w:autoSpaceDE w:val="0"/>
        <w:autoSpaceDN w:val="0"/>
        <w:adjustRightInd w:val="0"/>
        <w:spacing w:line="540" w:lineRule="exact"/>
        <w:ind w:firstLine="640"/>
      </w:pPr>
      <w:r w:rsidRPr="00346982">
        <w:rPr>
          <w:rFonts w:hint="eastAsia"/>
        </w:rPr>
        <w:t>对照国家能源局《生物质成型燃料质量分级》（</w:t>
      </w:r>
      <w:r w:rsidRPr="00346982">
        <w:rPr>
          <w:rFonts w:hint="eastAsia"/>
        </w:rPr>
        <w:t>NB/T 34024-2015</w:t>
      </w:r>
      <w:r w:rsidRPr="00346982">
        <w:rPr>
          <w:rFonts w:hint="eastAsia"/>
        </w:rPr>
        <w:t>）发现，从统计结果可以看出，样品在各质量等级间呈现出较为均衡且连续的分布状态，未出现集中于单一等级的极端情况，说明</w:t>
      </w:r>
      <w:r w:rsidRPr="00346982">
        <w:rPr>
          <w:rFonts w:hint="eastAsia"/>
        </w:rPr>
        <w:t xml:space="preserve"> NB/T 34024</w:t>
      </w:r>
      <w:r w:rsidRPr="00346982">
        <w:rPr>
          <w:rFonts w:hint="eastAsia"/>
        </w:rPr>
        <w:t>—</w:t>
      </w:r>
      <w:r w:rsidRPr="00346982">
        <w:rPr>
          <w:rFonts w:hint="eastAsia"/>
        </w:rPr>
        <w:t xml:space="preserve">2015 </w:t>
      </w:r>
      <w:r w:rsidRPr="00346982">
        <w:rPr>
          <w:rFonts w:hint="eastAsia"/>
        </w:rPr>
        <w:t>所采用的分级区间能够有效区分不同品质生物质燃料的工程属性。同时，各等级样品在工业分析、元素组成及发热量指标上均具有清晰的差异性，分级边界明确，便于实际检测和判定。</w:t>
      </w:r>
    </w:p>
    <w:p w14:paraId="6DDD52E0" w14:textId="6DA9B4A4" w:rsidR="008017B1" w:rsidRDefault="00346982" w:rsidP="00084192">
      <w:pPr>
        <w:autoSpaceDE w:val="0"/>
        <w:autoSpaceDN w:val="0"/>
        <w:adjustRightInd w:val="0"/>
        <w:spacing w:line="540" w:lineRule="exact"/>
        <w:ind w:firstLine="640"/>
      </w:pPr>
      <w:r>
        <w:rPr>
          <w:rFonts w:hint="eastAsia"/>
        </w:rPr>
        <w:t>因此，</w:t>
      </w:r>
      <w:r w:rsidRPr="00346982">
        <w:t>燃料适应性与稳定运行保障能力</w:t>
      </w:r>
      <w:r w:rsidR="008017B1">
        <w:rPr>
          <w:rFonts w:hint="eastAsia"/>
        </w:rPr>
        <w:t>Ⅰ</w:t>
      </w:r>
      <w:r w:rsidR="008017B1" w:rsidRPr="008017B1">
        <w:t>级基准值要求按照</w:t>
      </w:r>
      <w:r w:rsidR="008017B1" w:rsidRPr="008017B1">
        <w:t>GB/T 44906</w:t>
      </w:r>
      <w:r w:rsidR="008017B1" w:rsidRPr="008017B1">
        <w:t>和</w:t>
      </w:r>
      <w:r w:rsidR="008017B1" w:rsidRPr="008017B1">
        <w:t>NB/T 34024</w:t>
      </w:r>
      <w:r w:rsidR="008017B1" w:rsidRPr="008017B1">
        <w:t>建立验收分级与燃料窗口管理，具备有效的预处理</w:t>
      </w:r>
      <w:r w:rsidR="008017B1" w:rsidRPr="008017B1">
        <w:t>/</w:t>
      </w:r>
      <w:proofErr w:type="gramStart"/>
      <w:r w:rsidR="008017B1" w:rsidRPr="008017B1">
        <w:t>掺配措施</w:t>
      </w:r>
      <w:proofErr w:type="gramEnd"/>
      <w:r w:rsidR="008017B1" w:rsidRPr="008017B1">
        <w:t>，确保燃料质量波动适应性，并且关键指标检测与异常批次处置记录完整；</w:t>
      </w:r>
      <w:r w:rsidR="008017B1">
        <w:rPr>
          <w:rFonts w:hint="eastAsia"/>
        </w:rPr>
        <w:t>Ⅱ、Ⅲ</w:t>
      </w:r>
      <w:r w:rsidR="008017B1" w:rsidRPr="008017B1">
        <w:t>级基准值要求主要通过进场验收或零散抽检来控制燃料质量，临时调整应对燃料波动，保障燃烧的稳定性。</w:t>
      </w:r>
    </w:p>
    <w:p w14:paraId="56AA44A7" w14:textId="64F87EE0" w:rsidR="008017B1" w:rsidRDefault="008017B1" w:rsidP="00084192">
      <w:pPr>
        <w:autoSpaceDE w:val="0"/>
        <w:autoSpaceDN w:val="0"/>
        <w:adjustRightInd w:val="0"/>
        <w:spacing w:line="540" w:lineRule="exact"/>
        <w:ind w:firstLine="640"/>
      </w:pPr>
      <w:r w:rsidRPr="008017B1">
        <w:t>在燃料相关非计划停运控制能力方面，</w:t>
      </w:r>
      <w:r>
        <w:rPr>
          <w:rFonts w:hint="eastAsia"/>
        </w:rPr>
        <w:t>Ⅰ</w:t>
      </w:r>
      <w:r w:rsidRPr="008017B1">
        <w:t>级基准值要求建立结渣、料桥、床料团聚等故障判据与台账，并设置预警与处置流程，以提高应急处理能力；</w:t>
      </w:r>
      <w:r>
        <w:rPr>
          <w:rFonts w:hint="eastAsia"/>
        </w:rPr>
        <w:t>Ⅱ、Ⅲ</w:t>
      </w:r>
      <w:r w:rsidRPr="008017B1">
        <w:t>级基准值要求停运主要依靠被动处置，未建立完善的故障处置和预警体系。</w:t>
      </w:r>
    </w:p>
    <w:p w14:paraId="576A0630" w14:textId="7C1794BE" w:rsidR="008017B1" w:rsidRPr="008017B1" w:rsidRDefault="008017B1" w:rsidP="00084192">
      <w:pPr>
        <w:autoSpaceDE w:val="0"/>
        <w:autoSpaceDN w:val="0"/>
        <w:adjustRightInd w:val="0"/>
        <w:spacing w:line="540" w:lineRule="exact"/>
        <w:ind w:firstLine="640"/>
      </w:pPr>
      <w:r w:rsidRPr="008017B1">
        <w:t>在锅炉年检合格情况方面，</w:t>
      </w:r>
      <w:r>
        <w:rPr>
          <w:rFonts w:hint="eastAsia"/>
        </w:rPr>
        <w:t>Ⅰ、Ⅱ</w:t>
      </w:r>
      <w:r w:rsidRPr="008017B1">
        <w:t>级基准值要求锅炉年检符合所有相关标准与规范，确保设备长期稳定运行；</w:t>
      </w:r>
      <w:r>
        <w:rPr>
          <w:rFonts w:hint="eastAsia"/>
        </w:rPr>
        <w:t>Ⅲ</w:t>
      </w:r>
      <w:r w:rsidRPr="008017B1">
        <w:t>级基准值要求基本符合年检标准，存在一定程度的改进空间。</w:t>
      </w:r>
    </w:p>
    <w:p w14:paraId="5643F194" w14:textId="77777777" w:rsidR="008017B1" w:rsidRDefault="008017B1" w:rsidP="00084192">
      <w:pPr>
        <w:autoSpaceDE w:val="0"/>
        <w:autoSpaceDN w:val="0"/>
        <w:adjustRightInd w:val="0"/>
        <w:spacing w:line="540" w:lineRule="exact"/>
        <w:ind w:firstLine="640"/>
        <w:jc w:val="left"/>
      </w:pPr>
      <w:r w:rsidRPr="008017B1">
        <w:t>通过以上指标设置，本标准旨在推动锅炉系统在综合利用率与可靠性方面的提升，促进资源高效利用、燃料波动适应性和设备运行稳定性，确保系统的长期稳定运行与环境友好型发展。</w:t>
      </w:r>
    </w:p>
    <w:p w14:paraId="7F589AED" w14:textId="0596528B" w:rsidR="00445F8C" w:rsidRDefault="008017B1" w:rsidP="00084192">
      <w:pPr>
        <w:autoSpaceDE w:val="0"/>
        <w:autoSpaceDN w:val="0"/>
        <w:adjustRightInd w:val="0"/>
        <w:spacing w:line="540" w:lineRule="exact"/>
        <w:ind w:firstLine="643"/>
        <w:jc w:val="left"/>
        <w:rPr>
          <w:b/>
          <w:szCs w:val="32"/>
          <w:lang w:val="zh-CN"/>
        </w:rPr>
      </w:pPr>
      <w:r>
        <w:rPr>
          <w:rFonts w:hint="eastAsia"/>
          <w:b/>
          <w:szCs w:val="32"/>
          <w:lang w:val="zh-CN"/>
        </w:rPr>
        <w:lastRenderedPageBreak/>
        <w:t>5</w:t>
      </w:r>
      <w:r>
        <w:rPr>
          <w:b/>
          <w:szCs w:val="32"/>
          <w:lang w:val="zh-CN"/>
        </w:rPr>
        <w:t>、</w:t>
      </w:r>
      <w:r w:rsidRPr="008017B1">
        <w:rPr>
          <w:rFonts w:hint="eastAsia"/>
          <w:b/>
        </w:rPr>
        <w:t>大气污染物排放</w:t>
      </w:r>
    </w:p>
    <w:p w14:paraId="10832364" w14:textId="7817A23C"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大气排放指标用于评价生物质锅炉运行过程中主要污染物的排放控制水平，评价口径采用日均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不大于规定限值，覆盖的污染物包含颗粒物、氮氧化物（</w:t>
      </w:r>
      <w:r>
        <w:rPr>
          <w:rFonts w:eastAsia="仿宋_GB2312" w:cs="Times New Roman"/>
          <w:snapToGrid/>
          <w:color w:val="auto"/>
          <w:kern w:val="2"/>
          <w:sz w:val="32"/>
          <w:szCs w:val="24"/>
        </w:rPr>
        <w:t>NO</w:t>
      </w:r>
      <w:r w:rsidRPr="008017B1">
        <w:rPr>
          <w:rFonts w:eastAsia="仿宋_GB2312" w:cs="Times New Roman"/>
          <w:i/>
          <w:iCs/>
          <w:snapToGrid/>
          <w:color w:val="auto"/>
          <w:kern w:val="2"/>
          <w:sz w:val="32"/>
          <w:szCs w:val="24"/>
          <w:vertAlign w:val="subscript"/>
        </w:rPr>
        <w:t>x</w:t>
      </w:r>
      <w:r>
        <w:rPr>
          <w:rFonts w:eastAsia="仿宋_GB2312" w:cs="Times New Roman"/>
          <w:snapToGrid/>
          <w:color w:val="auto"/>
          <w:kern w:val="2"/>
          <w:sz w:val="32"/>
          <w:szCs w:val="24"/>
        </w:rPr>
        <w:t>）、二氧化硫（</w:t>
      </w:r>
      <w:r>
        <w:rPr>
          <w:rFonts w:eastAsia="仿宋_GB2312" w:cs="Times New Roman"/>
          <w:snapToGrid/>
          <w:color w:val="auto"/>
          <w:kern w:val="2"/>
          <w:sz w:val="32"/>
          <w:szCs w:val="24"/>
        </w:rPr>
        <w:t>SO</w:t>
      </w:r>
      <w:r>
        <w:rPr>
          <w:rFonts w:eastAsia="仿宋_GB2312" w:cs="Times New Roman"/>
          <w:snapToGrid/>
          <w:color w:val="auto"/>
          <w:kern w:val="2"/>
          <w:sz w:val="32"/>
          <w:szCs w:val="24"/>
          <w:vertAlign w:val="subscript"/>
        </w:rPr>
        <w:t>2</w:t>
      </w:r>
      <w:r>
        <w:rPr>
          <w:rFonts w:eastAsia="仿宋_GB2312" w:cs="Times New Roman"/>
          <w:snapToGrid/>
          <w:color w:val="auto"/>
          <w:kern w:val="2"/>
          <w:sz w:val="32"/>
          <w:szCs w:val="24"/>
        </w:rPr>
        <w:t>）、一氧化碳（</w:t>
      </w:r>
      <w:r>
        <w:rPr>
          <w:rFonts w:eastAsia="仿宋_GB2312" w:cs="Times New Roman"/>
          <w:snapToGrid/>
          <w:color w:val="auto"/>
          <w:kern w:val="2"/>
          <w:sz w:val="32"/>
          <w:szCs w:val="24"/>
        </w:rPr>
        <w:t>CO</w:t>
      </w:r>
      <w:r>
        <w:rPr>
          <w:rFonts w:eastAsia="仿宋_GB2312" w:cs="Times New Roman"/>
          <w:snapToGrid/>
          <w:color w:val="auto"/>
          <w:kern w:val="2"/>
          <w:sz w:val="32"/>
          <w:szCs w:val="24"/>
        </w:rPr>
        <w:t>）</w:t>
      </w:r>
      <w:r w:rsidR="008017B1">
        <w:rPr>
          <w:rFonts w:eastAsia="仿宋_GB2312" w:cs="Times New Roman" w:hint="eastAsia"/>
          <w:snapToGrid/>
          <w:color w:val="auto"/>
          <w:kern w:val="2"/>
          <w:sz w:val="32"/>
          <w:szCs w:val="24"/>
        </w:rPr>
        <w:t>、氨逃逸和</w:t>
      </w:r>
      <w:r>
        <w:rPr>
          <w:rFonts w:eastAsia="仿宋_GB2312" w:cs="Times New Roman"/>
          <w:snapToGrid/>
          <w:color w:val="auto"/>
          <w:kern w:val="2"/>
          <w:sz w:val="32"/>
          <w:szCs w:val="24"/>
        </w:rPr>
        <w:t>汞及其化合物。本标准按炉型分别设置层燃锅炉、</w:t>
      </w:r>
      <w:proofErr w:type="gramStart"/>
      <w:r>
        <w:rPr>
          <w:rFonts w:eastAsia="仿宋_GB2312" w:cs="Times New Roman"/>
          <w:snapToGrid/>
          <w:color w:val="auto"/>
          <w:kern w:val="2"/>
          <w:sz w:val="32"/>
          <w:szCs w:val="24"/>
        </w:rPr>
        <w:t>室燃锅炉</w:t>
      </w:r>
      <w:proofErr w:type="gramEnd"/>
      <w:r>
        <w:rPr>
          <w:rFonts w:eastAsia="仿宋_GB2312" w:cs="Times New Roman"/>
          <w:snapToGrid/>
          <w:color w:val="auto"/>
          <w:kern w:val="2"/>
          <w:sz w:val="32"/>
          <w:szCs w:val="24"/>
        </w:rPr>
        <w:t>与流化床锅炉的分级基准值，通过</w:t>
      </w:r>
      <w:r>
        <w:rPr>
          <w:rFonts w:ascii="宋体" w:hAnsi="宋体" w:hint="eastAsia"/>
          <w:snapToGrid/>
          <w:color w:val="auto"/>
          <w:kern w:val="2"/>
          <w:sz w:val="32"/>
          <w:szCs w:val="24"/>
        </w:rPr>
        <w:t>Ⅰ</w:t>
      </w:r>
      <w:r>
        <w:rPr>
          <w:rFonts w:eastAsia="仿宋_GB2312" w:cs="Times New Roman"/>
          <w:snapToGrid/>
          <w:color w:val="auto"/>
          <w:kern w:val="2"/>
          <w:sz w:val="32"/>
          <w:szCs w:val="24"/>
        </w:rPr>
        <w:t>、</w:t>
      </w:r>
      <w:r>
        <w:rPr>
          <w:rFonts w:ascii="宋体" w:hAnsi="宋体" w:hint="eastAsia"/>
          <w:snapToGrid/>
          <w:color w:val="auto"/>
          <w:kern w:val="2"/>
          <w:sz w:val="32"/>
          <w:szCs w:val="24"/>
        </w:rPr>
        <w:t>Ⅱ</w:t>
      </w:r>
      <w:r>
        <w:rPr>
          <w:rFonts w:eastAsia="仿宋_GB2312" w:cs="Times New Roman"/>
          <w:snapToGrid/>
          <w:color w:val="auto"/>
          <w:kern w:val="2"/>
          <w:sz w:val="32"/>
          <w:szCs w:val="24"/>
        </w:rPr>
        <w:t>、</w:t>
      </w:r>
      <w:r>
        <w:rPr>
          <w:rFonts w:ascii="宋体" w:hAnsi="宋体" w:hint="eastAsia"/>
          <w:snapToGrid/>
          <w:color w:val="auto"/>
          <w:kern w:val="2"/>
          <w:sz w:val="32"/>
          <w:szCs w:val="24"/>
        </w:rPr>
        <w:t>Ⅲ</w:t>
      </w:r>
      <w:r>
        <w:rPr>
          <w:rFonts w:eastAsia="仿宋_GB2312" w:cs="Times New Roman"/>
          <w:snapToGrid/>
          <w:color w:val="auto"/>
          <w:kern w:val="2"/>
          <w:sz w:val="32"/>
          <w:szCs w:val="24"/>
        </w:rPr>
        <w:t>级区分不同排放控制水平。</w:t>
      </w:r>
    </w:p>
    <w:p w14:paraId="11F17664" w14:textId="2FAA23AC"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在基准值设置方面，颗粒物、</w:t>
      </w:r>
      <w:r>
        <w:rPr>
          <w:rFonts w:eastAsia="仿宋_GB2312" w:cs="Times New Roman"/>
          <w:snapToGrid/>
          <w:color w:val="auto"/>
          <w:kern w:val="2"/>
          <w:sz w:val="32"/>
          <w:szCs w:val="24"/>
        </w:rPr>
        <w:t>NO</w:t>
      </w:r>
      <w:r w:rsidRPr="008017B1">
        <w:rPr>
          <w:rFonts w:eastAsia="仿宋_GB2312" w:cs="Times New Roman"/>
          <w:i/>
          <w:iCs/>
          <w:snapToGrid/>
          <w:color w:val="auto"/>
          <w:kern w:val="2"/>
          <w:sz w:val="32"/>
          <w:szCs w:val="24"/>
          <w:vertAlign w:val="subscript"/>
        </w:rPr>
        <w:t>x</w:t>
      </w:r>
      <w:r>
        <w:rPr>
          <w:rFonts w:eastAsia="仿宋_GB2312" w:cs="Times New Roman"/>
          <w:snapToGrid/>
          <w:color w:val="auto"/>
          <w:kern w:val="2"/>
          <w:sz w:val="32"/>
          <w:szCs w:val="24"/>
        </w:rPr>
        <w:t>、</w:t>
      </w:r>
      <w:r>
        <w:rPr>
          <w:rFonts w:eastAsia="仿宋_GB2312" w:cs="Times New Roman"/>
          <w:snapToGrid/>
          <w:color w:val="auto"/>
          <w:kern w:val="2"/>
          <w:sz w:val="32"/>
          <w:szCs w:val="24"/>
        </w:rPr>
        <w:t>SO</w:t>
      </w:r>
      <w:r>
        <w:rPr>
          <w:rFonts w:eastAsia="仿宋_GB2312" w:cs="Times New Roman"/>
          <w:snapToGrid/>
          <w:color w:val="auto"/>
          <w:kern w:val="2"/>
          <w:sz w:val="32"/>
          <w:szCs w:val="24"/>
          <w:vertAlign w:val="subscript"/>
        </w:rPr>
        <w:t>2</w:t>
      </w:r>
      <w:r w:rsidR="008017B1">
        <w:rPr>
          <w:rFonts w:eastAsia="仿宋_GB2312" w:cs="Times New Roman" w:hint="eastAsia"/>
          <w:snapToGrid/>
          <w:color w:val="auto"/>
          <w:kern w:val="2"/>
          <w:sz w:val="32"/>
          <w:szCs w:val="24"/>
        </w:rPr>
        <w:t>、</w:t>
      </w:r>
      <w:r w:rsidR="008017B1" w:rsidRPr="008017B1">
        <w:rPr>
          <w:rFonts w:eastAsia="仿宋_GB2312" w:cs="Times New Roman" w:hint="eastAsia"/>
          <w:snapToGrid/>
          <w:color w:val="auto"/>
          <w:kern w:val="2"/>
          <w:sz w:val="32"/>
          <w:szCs w:val="24"/>
        </w:rPr>
        <w:t>氨逃逸</w:t>
      </w:r>
      <w:r w:rsidR="008017B1">
        <w:rPr>
          <w:rFonts w:eastAsia="仿宋_GB2312" w:cs="Times New Roman" w:hint="eastAsia"/>
          <w:snapToGrid/>
          <w:color w:val="auto"/>
          <w:kern w:val="2"/>
          <w:sz w:val="32"/>
          <w:szCs w:val="24"/>
        </w:rPr>
        <w:t>和汞及其化合物</w:t>
      </w:r>
      <w:r>
        <w:rPr>
          <w:rFonts w:eastAsia="仿宋_GB2312" w:cs="Times New Roman"/>
          <w:snapToGrid/>
          <w:color w:val="auto"/>
          <w:kern w:val="2"/>
          <w:sz w:val="32"/>
          <w:szCs w:val="24"/>
        </w:rPr>
        <w:t>等指标以《锅炉大气污染物排放标准（征求意见稿）》（</w:t>
      </w:r>
      <w:r>
        <w:rPr>
          <w:rFonts w:eastAsia="仿宋_GB2312" w:cs="Times New Roman"/>
          <w:snapToGrid/>
          <w:color w:val="auto"/>
          <w:kern w:val="2"/>
          <w:sz w:val="32"/>
          <w:szCs w:val="24"/>
        </w:rPr>
        <w:t>GB 13223-202X</w:t>
      </w:r>
      <w:r>
        <w:rPr>
          <w:rFonts w:eastAsia="仿宋_GB2312" w:cs="Times New Roman"/>
          <w:snapToGrid/>
          <w:color w:val="auto"/>
          <w:kern w:val="2"/>
          <w:sz w:val="32"/>
          <w:szCs w:val="24"/>
        </w:rPr>
        <w:t>）中的限值要求作为先进控制水平参照，同时以原标准《锅炉大气污染物排放标准》（</w:t>
      </w:r>
      <w:r>
        <w:rPr>
          <w:rFonts w:eastAsia="仿宋_GB2312" w:cs="Times New Roman"/>
          <w:snapToGrid/>
          <w:color w:val="auto"/>
          <w:kern w:val="2"/>
          <w:sz w:val="32"/>
          <w:szCs w:val="24"/>
        </w:rPr>
        <w:t>GB 13271-2014</w:t>
      </w:r>
      <w:r>
        <w:rPr>
          <w:rFonts w:eastAsia="仿宋_GB2312" w:cs="Times New Roman"/>
          <w:snapToGrid/>
          <w:color w:val="auto"/>
          <w:kern w:val="2"/>
          <w:sz w:val="32"/>
          <w:szCs w:val="24"/>
        </w:rPr>
        <w:t>）中对应限值作为基础达标水平参照。</w:t>
      </w:r>
    </w:p>
    <w:p w14:paraId="7757A39B" w14:textId="77777777"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具体而言，颗粒物排放指标中，</w:t>
      </w:r>
      <w:r>
        <w:rPr>
          <w:rFonts w:ascii="宋体" w:hAnsi="宋体" w:hint="eastAsia"/>
          <w:snapToGrid/>
          <w:color w:val="auto"/>
          <w:kern w:val="2"/>
          <w:sz w:val="32"/>
          <w:szCs w:val="24"/>
        </w:rPr>
        <w:t>Ⅲ</w:t>
      </w:r>
      <w:r>
        <w:rPr>
          <w:rFonts w:eastAsia="仿宋_GB2312" w:cs="Times New Roman"/>
          <w:snapToGrid/>
          <w:color w:val="auto"/>
          <w:kern w:val="2"/>
          <w:sz w:val="32"/>
          <w:szCs w:val="24"/>
        </w:rPr>
        <w:t>级基准值参考</w:t>
      </w:r>
      <w:r>
        <w:rPr>
          <w:rFonts w:eastAsia="仿宋_GB2312" w:cs="Times New Roman"/>
          <w:snapToGrid/>
          <w:color w:val="auto"/>
          <w:kern w:val="2"/>
          <w:sz w:val="32"/>
          <w:szCs w:val="24"/>
        </w:rPr>
        <w:t>GB 13271—2014</w:t>
      </w:r>
      <w:r>
        <w:rPr>
          <w:rFonts w:eastAsia="仿宋_GB2312" w:cs="Times New Roman"/>
          <w:snapToGrid/>
          <w:color w:val="auto"/>
          <w:kern w:val="2"/>
          <w:sz w:val="32"/>
          <w:szCs w:val="24"/>
        </w:rPr>
        <w:t>中对应炉型的日均限值，</w:t>
      </w:r>
      <w:r>
        <w:rPr>
          <w:rFonts w:ascii="宋体" w:hAnsi="宋体" w:hint="eastAsia"/>
          <w:snapToGrid/>
          <w:color w:val="auto"/>
          <w:kern w:val="2"/>
          <w:sz w:val="32"/>
          <w:szCs w:val="24"/>
        </w:rPr>
        <w:t>Ⅰ</w:t>
      </w:r>
      <w:r>
        <w:rPr>
          <w:rFonts w:eastAsia="仿宋_GB2312" w:cs="Times New Roman"/>
          <w:snapToGrid/>
          <w:color w:val="auto"/>
          <w:kern w:val="2"/>
          <w:sz w:val="32"/>
          <w:szCs w:val="24"/>
        </w:rPr>
        <w:t>、</w:t>
      </w:r>
      <w:r>
        <w:rPr>
          <w:rFonts w:ascii="宋体" w:hAnsi="宋体" w:hint="eastAsia"/>
          <w:snapToGrid/>
          <w:color w:val="auto"/>
          <w:kern w:val="2"/>
          <w:sz w:val="32"/>
          <w:szCs w:val="24"/>
        </w:rPr>
        <w:t>Ⅱ</w:t>
      </w:r>
      <w:r>
        <w:rPr>
          <w:rFonts w:eastAsia="仿宋_GB2312" w:cs="Times New Roman"/>
          <w:snapToGrid/>
          <w:color w:val="auto"/>
          <w:kern w:val="2"/>
          <w:sz w:val="32"/>
          <w:szCs w:val="24"/>
        </w:rPr>
        <w:t>级基准值则对标</w:t>
      </w:r>
      <w:r>
        <w:rPr>
          <w:rFonts w:eastAsia="仿宋_GB2312" w:cs="Times New Roman"/>
          <w:snapToGrid/>
          <w:color w:val="auto"/>
          <w:kern w:val="2"/>
          <w:sz w:val="32"/>
          <w:szCs w:val="24"/>
        </w:rPr>
        <w:t>GB 13223—202X</w:t>
      </w:r>
      <w:r>
        <w:rPr>
          <w:rFonts w:eastAsia="仿宋_GB2312" w:cs="Times New Roman"/>
          <w:snapToGrid/>
          <w:color w:val="auto"/>
          <w:kern w:val="2"/>
          <w:sz w:val="32"/>
          <w:szCs w:val="24"/>
        </w:rPr>
        <w:t>中更严格的排放要求，其中日均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≤10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Ⅰ</w:t>
      </w:r>
      <w:r>
        <w:rPr>
          <w:rFonts w:eastAsia="仿宋_GB2312" w:cs="Times New Roman"/>
          <w:snapToGrid/>
          <w:color w:val="auto"/>
          <w:kern w:val="2"/>
          <w:sz w:val="32"/>
          <w:szCs w:val="24"/>
        </w:rPr>
        <w:t>、</w:t>
      </w:r>
      <w:r>
        <w:rPr>
          <w:rFonts w:ascii="宋体" w:hAnsi="宋体" w:hint="eastAsia"/>
          <w:snapToGrid/>
          <w:color w:val="auto"/>
          <w:kern w:val="2"/>
          <w:sz w:val="32"/>
          <w:szCs w:val="24"/>
        </w:rPr>
        <w:t>Ⅱ</w:t>
      </w:r>
      <w:r>
        <w:rPr>
          <w:rFonts w:eastAsia="仿宋_GB2312" w:cs="Times New Roman"/>
          <w:snapToGrid/>
          <w:color w:val="auto"/>
          <w:kern w:val="2"/>
          <w:sz w:val="32"/>
          <w:szCs w:val="24"/>
        </w:rPr>
        <w:t>级水平，</w:t>
      </w:r>
      <w:r>
        <w:rPr>
          <w:rFonts w:eastAsia="仿宋_GB2312" w:cs="Times New Roman"/>
          <w:snapToGrid/>
          <w:color w:val="auto"/>
          <w:kern w:val="2"/>
          <w:sz w:val="32"/>
          <w:szCs w:val="24"/>
        </w:rPr>
        <w:t>≤80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Ⅲ</w:t>
      </w:r>
      <w:r>
        <w:rPr>
          <w:rFonts w:eastAsia="仿宋_GB2312" w:cs="Times New Roman"/>
          <w:snapToGrid/>
          <w:color w:val="auto"/>
          <w:kern w:val="2"/>
          <w:sz w:val="32"/>
          <w:szCs w:val="24"/>
        </w:rPr>
        <w:t>级，该指标适用于层燃锅炉、</w:t>
      </w:r>
      <w:proofErr w:type="gramStart"/>
      <w:r>
        <w:rPr>
          <w:rFonts w:eastAsia="仿宋_GB2312" w:cs="Times New Roman"/>
          <w:snapToGrid/>
          <w:color w:val="auto"/>
          <w:kern w:val="2"/>
          <w:sz w:val="32"/>
          <w:szCs w:val="24"/>
        </w:rPr>
        <w:t>室燃锅炉</w:t>
      </w:r>
      <w:proofErr w:type="gramEnd"/>
      <w:r>
        <w:rPr>
          <w:rFonts w:eastAsia="仿宋_GB2312" w:cs="Times New Roman"/>
          <w:snapToGrid/>
          <w:color w:val="auto"/>
          <w:kern w:val="2"/>
          <w:sz w:val="32"/>
          <w:szCs w:val="24"/>
        </w:rPr>
        <w:t>及流化床锅炉。</w:t>
      </w:r>
    </w:p>
    <w:p w14:paraId="782C63DF" w14:textId="16A22545"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NO</w:t>
      </w:r>
      <w:r w:rsidRPr="008017B1">
        <w:rPr>
          <w:rFonts w:eastAsia="仿宋_GB2312" w:cs="Times New Roman"/>
          <w:i/>
          <w:iCs/>
          <w:snapToGrid/>
          <w:color w:val="auto"/>
          <w:kern w:val="2"/>
          <w:sz w:val="32"/>
          <w:szCs w:val="24"/>
          <w:vertAlign w:val="subscript"/>
        </w:rPr>
        <w:t>x</w:t>
      </w:r>
      <w:r>
        <w:rPr>
          <w:rFonts w:eastAsia="仿宋_GB2312" w:cs="Times New Roman"/>
          <w:snapToGrid/>
          <w:color w:val="auto"/>
          <w:kern w:val="2"/>
          <w:sz w:val="32"/>
          <w:szCs w:val="24"/>
        </w:rPr>
        <w:t>指标按照炉型差异分别设置分级基准，以体现不同燃烧方式及脱硝技术条件下的排放控制水平。对层燃锅炉，</w:t>
      </w:r>
      <w:r>
        <w:rPr>
          <w:rFonts w:eastAsia="仿宋_GB2312" w:cs="Times New Roman"/>
          <w:snapToGrid/>
          <w:color w:val="auto"/>
          <w:kern w:val="2"/>
          <w:sz w:val="32"/>
          <w:szCs w:val="24"/>
        </w:rPr>
        <w:t>NO</w:t>
      </w:r>
      <w:r w:rsidRPr="008017B1">
        <w:rPr>
          <w:rFonts w:eastAsia="仿宋_GB2312" w:cs="Times New Roman"/>
          <w:i/>
          <w:iCs/>
          <w:snapToGrid/>
          <w:color w:val="auto"/>
          <w:kern w:val="2"/>
          <w:sz w:val="32"/>
          <w:szCs w:val="24"/>
          <w:vertAlign w:val="subscript"/>
        </w:rPr>
        <w:t>x</w:t>
      </w:r>
      <w:r>
        <w:rPr>
          <w:rFonts w:eastAsia="仿宋_GB2312" w:cs="Times New Roman"/>
          <w:snapToGrid/>
          <w:color w:val="auto"/>
          <w:kern w:val="2"/>
          <w:sz w:val="32"/>
          <w:szCs w:val="24"/>
        </w:rPr>
        <w:t>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 xml:space="preserve"> ≤100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sidR="008017B1">
        <w:rPr>
          <w:rFonts w:ascii="宋体" w:hAnsi="宋体" w:hint="eastAsia"/>
          <w:snapToGrid/>
          <w:color w:val="auto"/>
          <w:kern w:val="2"/>
          <w:sz w:val="32"/>
          <w:szCs w:val="24"/>
        </w:rPr>
        <w:t>Ⅰ</w:t>
      </w:r>
      <w:r w:rsidR="008017B1">
        <w:rPr>
          <w:rFonts w:eastAsia="仿宋_GB2312" w:cs="Times New Roman"/>
          <w:snapToGrid/>
          <w:color w:val="auto"/>
          <w:kern w:val="2"/>
          <w:sz w:val="32"/>
          <w:szCs w:val="24"/>
        </w:rPr>
        <w:t>、</w:t>
      </w:r>
      <w:r w:rsidR="008017B1">
        <w:rPr>
          <w:rFonts w:ascii="宋体" w:hAnsi="宋体" w:hint="eastAsia"/>
          <w:snapToGrid/>
          <w:color w:val="auto"/>
          <w:kern w:val="2"/>
          <w:sz w:val="32"/>
          <w:szCs w:val="24"/>
        </w:rPr>
        <w:t>Ⅱ</w:t>
      </w:r>
      <w:r>
        <w:rPr>
          <w:rFonts w:eastAsia="仿宋_GB2312" w:cs="Times New Roman"/>
          <w:snapToGrid/>
          <w:color w:val="auto"/>
          <w:kern w:val="2"/>
          <w:sz w:val="32"/>
          <w:szCs w:val="24"/>
        </w:rPr>
        <w:t>级水平，</w:t>
      </w:r>
      <w:r>
        <w:rPr>
          <w:rFonts w:eastAsia="仿宋_GB2312" w:cs="Times New Roman"/>
          <w:snapToGrid/>
          <w:color w:val="auto"/>
          <w:kern w:val="2"/>
          <w:sz w:val="32"/>
          <w:szCs w:val="24"/>
        </w:rPr>
        <w:t>≤400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Ⅲ</w:t>
      </w:r>
      <w:r>
        <w:rPr>
          <w:rFonts w:eastAsia="仿宋_GB2312" w:cs="Times New Roman"/>
          <w:snapToGrid/>
          <w:color w:val="auto"/>
          <w:kern w:val="2"/>
          <w:sz w:val="32"/>
          <w:szCs w:val="24"/>
        </w:rPr>
        <w:t>级水平；</w:t>
      </w:r>
      <w:proofErr w:type="gramStart"/>
      <w:r>
        <w:rPr>
          <w:rFonts w:eastAsia="仿宋_GB2312" w:cs="Times New Roman"/>
          <w:snapToGrid/>
          <w:color w:val="auto"/>
          <w:kern w:val="2"/>
          <w:sz w:val="32"/>
          <w:szCs w:val="24"/>
        </w:rPr>
        <w:t>对于室燃</w:t>
      </w:r>
      <w:proofErr w:type="gramEnd"/>
      <w:r>
        <w:rPr>
          <w:rFonts w:eastAsia="仿宋_GB2312" w:cs="Times New Roman"/>
          <w:snapToGrid/>
          <w:color w:val="auto"/>
          <w:kern w:val="2"/>
          <w:sz w:val="32"/>
          <w:szCs w:val="24"/>
        </w:rPr>
        <w:t>锅炉和流化床锅炉，</w:t>
      </w:r>
      <w:r>
        <w:rPr>
          <w:rFonts w:eastAsia="仿宋_GB2312" w:cs="Times New Roman"/>
          <w:snapToGrid/>
          <w:color w:val="auto"/>
          <w:kern w:val="2"/>
          <w:sz w:val="32"/>
          <w:szCs w:val="24"/>
        </w:rPr>
        <w:t>NO</w:t>
      </w:r>
      <w:r w:rsidRPr="008017B1">
        <w:rPr>
          <w:rFonts w:eastAsia="仿宋_GB2312" w:cs="Times New Roman"/>
          <w:i/>
          <w:iCs/>
          <w:snapToGrid/>
          <w:color w:val="auto"/>
          <w:kern w:val="2"/>
          <w:sz w:val="32"/>
          <w:szCs w:val="24"/>
          <w:vertAlign w:val="subscript"/>
        </w:rPr>
        <w:t>x</w:t>
      </w:r>
      <w:r>
        <w:rPr>
          <w:rFonts w:eastAsia="仿宋_GB2312" w:cs="Times New Roman"/>
          <w:snapToGrid/>
          <w:color w:val="auto"/>
          <w:kern w:val="2"/>
          <w:sz w:val="32"/>
          <w:szCs w:val="24"/>
        </w:rPr>
        <w:t>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≤50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Ⅰ</w:t>
      </w:r>
      <w:r>
        <w:rPr>
          <w:rFonts w:eastAsia="仿宋_GB2312" w:cs="Times New Roman"/>
          <w:snapToGrid/>
          <w:color w:val="auto"/>
          <w:kern w:val="2"/>
          <w:sz w:val="32"/>
          <w:szCs w:val="24"/>
        </w:rPr>
        <w:t>级水平，</w:t>
      </w:r>
      <w:r>
        <w:rPr>
          <w:rFonts w:eastAsia="仿宋_GB2312" w:cs="Times New Roman"/>
          <w:snapToGrid/>
          <w:color w:val="auto"/>
          <w:kern w:val="2"/>
          <w:sz w:val="32"/>
          <w:szCs w:val="24"/>
        </w:rPr>
        <w:t>≤100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Ⅱ</w:t>
      </w:r>
      <w:r>
        <w:rPr>
          <w:rFonts w:eastAsia="仿宋_GB2312" w:cs="Times New Roman"/>
          <w:snapToGrid/>
          <w:color w:val="auto"/>
          <w:kern w:val="2"/>
          <w:sz w:val="32"/>
          <w:szCs w:val="24"/>
        </w:rPr>
        <w:t>级水平，</w:t>
      </w:r>
      <w:r>
        <w:rPr>
          <w:rFonts w:eastAsia="仿宋_GB2312" w:cs="Times New Roman"/>
          <w:snapToGrid/>
          <w:color w:val="auto"/>
          <w:kern w:val="2"/>
          <w:sz w:val="32"/>
          <w:szCs w:val="24"/>
        </w:rPr>
        <w:t>≤200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Ⅲ</w:t>
      </w:r>
      <w:r>
        <w:rPr>
          <w:rFonts w:eastAsia="仿宋_GB2312" w:cs="Times New Roman"/>
          <w:snapToGrid/>
          <w:color w:val="auto"/>
          <w:kern w:val="2"/>
          <w:sz w:val="32"/>
          <w:szCs w:val="24"/>
        </w:rPr>
        <w:t>级水平。</w:t>
      </w:r>
    </w:p>
    <w:p w14:paraId="5A0057DF" w14:textId="77777777"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SO</w:t>
      </w:r>
      <w:r>
        <w:rPr>
          <w:rFonts w:eastAsia="仿宋_GB2312" w:cs="Times New Roman"/>
          <w:snapToGrid/>
          <w:color w:val="auto"/>
          <w:kern w:val="2"/>
          <w:sz w:val="32"/>
          <w:szCs w:val="24"/>
          <w:vertAlign w:val="subscript"/>
        </w:rPr>
        <w:t>2</w:t>
      </w:r>
      <w:r>
        <w:rPr>
          <w:rFonts w:eastAsia="仿宋_GB2312" w:cs="Times New Roman"/>
          <w:snapToGrid/>
          <w:color w:val="auto"/>
          <w:kern w:val="2"/>
          <w:sz w:val="32"/>
          <w:szCs w:val="24"/>
        </w:rPr>
        <w:t>指标同样按照炉型差异分别设置分级基准，以反映不同脱硫路径和燃料特性条件下的排放控制能力。对层燃锅炉，</w:t>
      </w:r>
      <w:r>
        <w:rPr>
          <w:rFonts w:eastAsia="仿宋_GB2312" w:cs="Times New Roman"/>
          <w:snapToGrid/>
          <w:color w:val="auto"/>
          <w:kern w:val="2"/>
          <w:sz w:val="32"/>
          <w:szCs w:val="24"/>
        </w:rPr>
        <w:t>SO</w:t>
      </w:r>
      <w:r>
        <w:rPr>
          <w:rFonts w:eastAsia="仿宋_GB2312" w:cs="Times New Roman"/>
          <w:snapToGrid/>
          <w:color w:val="auto"/>
          <w:kern w:val="2"/>
          <w:sz w:val="32"/>
          <w:szCs w:val="24"/>
          <w:vertAlign w:val="subscript"/>
        </w:rPr>
        <w:t>2</w:t>
      </w:r>
      <w:r>
        <w:rPr>
          <w:rFonts w:eastAsia="仿宋_GB2312" w:cs="Times New Roman"/>
          <w:snapToGrid/>
          <w:color w:val="auto"/>
          <w:kern w:val="2"/>
          <w:sz w:val="32"/>
          <w:szCs w:val="24"/>
        </w:rPr>
        <w:t>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≤100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Ⅰ</w:t>
      </w:r>
      <w:r>
        <w:rPr>
          <w:rFonts w:eastAsia="仿宋_GB2312" w:cs="Times New Roman"/>
          <w:snapToGrid/>
          <w:color w:val="auto"/>
          <w:kern w:val="2"/>
          <w:sz w:val="32"/>
          <w:szCs w:val="24"/>
        </w:rPr>
        <w:t>、</w:t>
      </w:r>
      <w:r>
        <w:rPr>
          <w:rFonts w:ascii="宋体" w:hAnsi="宋体" w:hint="eastAsia"/>
          <w:snapToGrid/>
          <w:color w:val="auto"/>
          <w:kern w:val="2"/>
          <w:sz w:val="32"/>
          <w:szCs w:val="24"/>
        </w:rPr>
        <w:t>Ⅱ</w:t>
      </w:r>
      <w:r>
        <w:rPr>
          <w:rFonts w:eastAsia="仿宋_GB2312" w:cs="Times New Roman"/>
          <w:snapToGrid/>
          <w:color w:val="auto"/>
          <w:kern w:val="2"/>
          <w:sz w:val="32"/>
          <w:szCs w:val="24"/>
        </w:rPr>
        <w:t>级水平，</w:t>
      </w:r>
      <w:r>
        <w:rPr>
          <w:rFonts w:eastAsia="仿宋_GB2312" w:cs="Times New Roman"/>
          <w:snapToGrid/>
          <w:color w:val="auto"/>
          <w:kern w:val="2"/>
          <w:sz w:val="32"/>
          <w:szCs w:val="24"/>
        </w:rPr>
        <w:t>≤300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Ⅲ</w:t>
      </w:r>
      <w:r>
        <w:rPr>
          <w:rFonts w:eastAsia="仿宋_GB2312" w:cs="Times New Roman"/>
          <w:snapToGrid/>
          <w:color w:val="auto"/>
          <w:kern w:val="2"/>
          <w:sz w:val="32"/>
          <w:szCs w:val="24"/>
        </w:rPr>
        <w:t>级</w:t>
      </w:r>
      <w:r>
        <w:rPr>
          <w:rFonts w:eastAsia="仿宋_GB2312" w:cs="Times New Roman"/>
          <w:snapToGrid/>
          <w:color w:val="auto"/>
          <w:kern w:val="2"/>
          <w:sz w:val="32"/>
          <w:szCs w:val="24"/>
        </w:rPr>
        <w:lastRenderedPageBreak/>
        <w:t>水平；</w:t>
      </w:r>
      <w:proofErr w:type="gramStart"/>
      <w:r>
        <w:rPr>
          <w:rFonts w:eastAsia="仿宋_GB2312" w:cs="Times New Roman"/>
          <w:snapToGrid/>
          <w:color w:val="auto"/>
          <w:kern w:val="2"/>
          <w:sz w:val="32"/>
          <w:szCs w:val="24"/>
        </w:rPr>
        <w:t>对室燃锅炉</w:t>
      </w:r>
      <w:proofErr w:type="gramEnd"/>
      <w:r>
        <w:rPr>
          <w:rFonts w:eastAsia="仿宋_GB2312" w:cs="Times New Roman"/>
          <w:snapToGrid/>
          <w:color w:val="auto"/>
          <w:kern w:val="2"/>
          <w:sz w:val="32"/>
          <w:szCs w:val="24"/>
        </w:rPr>
        <w:t>和流化床锅炉，</w:t>
      </w:r>
      <w:r>
        <w:rPr>
          <w:rFonts w:eastAsia="仿宋_GB2312" w:cs="Times New Roman"/>
          <w:snapToGrid/>
          <w:color w:val="auto"/>
          <w:kern w:val="2"/>
          <w:sz w:val="32"/>
          <w:szCs w:val="24"/>
        </w:rPr>
        <w:t>SO</w:t>
      </w:r>
      <w:r>
        <w:rPr>
          <w:rFonts w:eastAsia="仿宋_GB2312" w:cs="Times New Roman"/>
          <w:snapToGrid/>
          <w:color w:val="auto"/>
          <w:kern w:val="2"/>
          <w:sz w:val="32"/>
          <w:szCs w:val="24"/>
          <w:vertAlign w:val="subscript"/>
        </w:rPr>
        <w:t>2</w:t>
      </w:r>
      <w:r>
        <w:rPr>
          <w:rFonts w:eastAsia="仿宋_GB2312" w:cs="Times New Roman"/>
          <w:snapToGrid/>
          <w:color w:val="auto"/>
          <w:kern w:val="2"/>
          <w:sz w:val="32"/>
          <w:szCs w:val="24"/>
        </w:rPr>
        <w:t>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≤35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Ⅰ</w:t>
      </w:r>
      <w:r>
        <w:rPr>
          <w:rFonts w:eastAsia="仿宋_GB2312" w:cs="Times New Roman"/>
          <w:snapToGrid/>
          <w:color w:val="auto"/>
          <w:kern w:val="2"/>
          <w:sz w:val="32"/>
          <w:szCs w:val="24"/>
        </w:rPr>
        <w:t>、</w:t>
      </w:r>
      <w:r>
        <w:rPr>
          <w:rFonts w:ascii="宋体" w:hAnsi="宋体" w:hint="eastAsia"/>
          <w:snapToGrid/>
          <w:color w:val="auto"/>
          <w:kern w:val="2"/>
          <w:sz w:val="32"/>
          <w:szCs w:val="24"/>
        </w:rPr>
        <w:t>Ⅱ</w:t>
      </w:r>
      <w:r>
        <w:rPr>
          <w:rFonts w:eastAsia="仿宋_GB2312" w:cs="Times New Roman"/>
          <w:snapToGrid/>
          <w:color w:val="auto"/>
          <w:kern w:val="2"/>
          <w:sz w:val="32"/>
          <w:szCs w:val="24"/>
        </w:rPr>
        <w:t>级水平，</w:t>
      </w:r>
      <w:r>
        <w:rPr>
          <w:rFonts w:eastAsia="仿宋_GB2312" w:cs="Times New Roman"/>
          <w:snapToGrid/>
          <w:color w:val="auto"/>
          <w:kern w:val="2"/>
          <w:sz w:val="32"/>
          <w:szCs w:val="24"/>
        </w:rPr>
        <w:t>≤300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对应</w:t>
      </w:r>
      <w:r>
        <w:rPr>
          <w:rFonts w:ascii="宋体" w:hAnsi="宋体" w:hint="eastAsia"/>
          <w:snapToGrid/>
          <w:color w:val="auto"/>
          <w:kern w:val="2"/>
          <w:sz w:val="32"/>
          <w:szCs w:val="24"/>
        </w:rPr>
        <w:t>Ⅲ</w:t>
      </w:r>
      <w:r>
        <w:rPr>
          <w:rFonts w:eastAsia="仿宋_GB2312" w:cs="Times New Roman"/>
          <w:snapToGrid/>
          <w:color w:val="auto"/>
          <w:kern w:val="2"/>
          <w:sz w:val="32"/>
          <w:szCs w:val="24"/>
        </w:rPr>
        <w:t>级水平。</w:t>
      </w:r>
    </w:p>
    <w:p w14:paraId="5A37FB93" w14:textId="77777777"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对于一氧化碳（</w:t>
      </w:r>
      <w:r>
        <w:rPr>
          <w:rFonts w:eastAsia="仿宋_GB2312" w:cs="Times New Roman"/>
          <w:snapToGrid/>
          <w:color w:val="auto"/>
          <w:kern w:val="2"/>
          <w:sz w:val="32"/>
          <w:szCs w:val="24"/>
        </w:rPr>
        <w:t>CO</w:t>
      </w:r>
      <w:r>
        <w:rPr>
          <w:rFonts w:eastAsia="仿宋_GB2312" w:cs="Times New Roman"/>
          <w:snapToGrid/>
          <w:color w:val="auto"/>
          <w:kern w:val="2"/>
          <w:sz w:val="32"/>
          <w:szCs w:val="24"/>
        </w:rPr>
        <w:t>），由于国家层面的锅炉大气污染物排放标准尚未给出统一的强制性限值，但</w:t>
      </w:r>
      <w:r>
        <w:rPr>
          <w:rFonts w:eastAsia="仿宋_GB2312" w:cs="Times New Roman"/>
          <w:snapToGrid/>
          <w:color w:val="auto"/>
          <w:kern w:val="2"/>
          <w:sz w:val="32"/>
          <w:szCs w:val="24"/>
        </w:rPr>
        <w:t>CO</w:t>
      </w:r>
      <w:r>
        <w:rPr>
          <w:rFonts w:eastAsia="仿宋_GB2312" w:cs="Times New Roman"/>
          <w:snapToGrid/>
          <w:color w:val="auto"/>
          <w:kern w:val="2"/>
          <w:sz w:val="32"/>
          <w:szCs w:val="24"/>
        </w:rPr>
        <w:t>排放水平能够直接反映燃料燃尽程度、燃烧组织合理性及运行管理水平，同时对环境空气质量和作业环境安全具有直接影响。</w:t>
      </w:r>
      <w:r>
        <w:rPr>
          <w:rFonts w:eastAsia="仿宋_GB2312" w:cs="Times New Roman"/>
          <w:snapToGrid/>
          <w:color w:val="auto"/>
          <w:kern w:val="2"/>
          <w:sz w:val="32"/>
          <w:szCs w:val="24"/>
        </w:rPr>
        <w:t>CO</w:t>
      </w:r>
      <w:r>
        <w:rPr>
          <w:rFonts w:eastAsia="仿宋_GB2312" w:cs="Times New Roman"/>
          <w:snapToGrid/>
          <w:color w:val="auto"/>
          <w:kern w:val="2"/>
          <w:sz w:val="32"/>
          <w:szCs w:val="24"/>
        </w:rPr>
        <w:t>属于典型的有毒窒息性气体，其排放水平与炉膛燃烧不完全、局部缺氧及运行工况波动密切相关，对锅炉房及周边操作区域人员健康和安全运行构成潜在风险。本标准参考地方标准《锅炉大气污染物排放标准》（</w:t>
      </w:r>
      <w:r>
        <w:rPr>
          <w:rFonts w:eastAsia="仿宋_GB2312" w:cs="Times New Roman"/>
          <w:snapToGrid/>
          <w:color w:val="auto"/>
          <w:kern w:val="2"/>
          <w:sz w:val="32"/>
          <w:szCs w:val="24"/>
        </w:rPr>
        <w:t>DB 44/765—2019</w:t>
      </w:r>
      <w:r>
        <w:rPr>
          <w:rFonts w:eastAsia="仿宋_GB2312" w:cs="Times New Roman"/>
          <w:snapToGrid/>
          <w:color w:val="auto"/>
          <w:kern w:val="2"/>
          <w:sz w:val="32"/>
          <w:szCs w:val="24"/>
        </w:rPr>
        <w:t>）中相关规定，设置</w:t>
      </w:r>
      <w:r>
        <w:rPr>
          <w:rFonts w:eastAsia="仿宋_GB2312" w:cs="Times New Roman"/>
          <w:snapToGrid/>
          <w:color w:val="auto"/>
          <w:kern w:val="2"/>
          <w:sz w:val="32"/>
          <w:szCs w:val="24"/>
        </w:rPr>
        <w:t>CO</w:t>
      </w:r>
      <w:r>
        <w:rPr>
          <w:rFonts w:eastAsia="仿宋_GB2312" w:cs="Times New Roman"/>
          <w:snapToGrid/>
          <w:color w:val="auto"/>
          <w:kern w:val="2"/>
          <w:sz w:val="32"/>
          <w:szCs w:val="24"/>
        </w:rPr>
        <w:t>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不高于</w:t>
      </w:r>
      <w:r>
        <w:rPr>
          <w:rFonts w:eastAsia="仿宋_GB2312" w:cs="Times New Roman"/>
          <w:snapToGrid/>
          <w:color w:val="auto"/>
          <w:kern w:val="2"/>
          <w:sz w:val="32"/>
          <w:szCs w:val="24"/>
        </w:rPr>
        <w:t>200 mg/m</w:t>
      </w:r>
      <w:r>
        <w:rPr>
          <w:rFonts w:eastAsia="仿宋_GB2312" w:cs="Times New Roman"/>
          <w:snapToGrid/>
          <w:color w:val="auto"/>
          <w:kern w:val="2"/>
          <w:sz w:val="32"/>
          <w:szCs w:val="24"/>
          <w:vertAlign w:val="superscript"/>
        </w:rPr>
        <w:t>3</w:t>
      </w:r>
      <w:r>
        <w:rPr>
          <w:rFonts w:eastAsia="仿宋_GB2312" w:cs="Times New Roman"/>
          <w:snapToGrid/>
          <w:color w:val="auto"/>
          <w:kern w:val="2"/>
          <w:sz w:val="32"/>
          <w:szCs w:val="24"/>
        </w:rPr>
        <w:t>作为评价基准值，用于清洁燃烧水平评价，不再设置分级限值。</w:t>
      </w:r>
    </w:p>
    <w:p w14:paraId="68BE344E" w14:textId="3CF84300" w:rsidR="00346982" w:rsidRPr="00613263" w:rsidRDefault="00613263" w:rsidP="00084192">
      <w:pPr>
        <w:pStyle w:val="affb"/>
        <w:spacing w:line="540" w:lineRule="exact"/>
        <w:ind w:firstLine="640"/>
        <w:rPr>
          <w:rFonts w:eastAsia="仿宋_GB2312" w:cs="Times New Roman"/>
          <w:snapToGrid/>
          <w:color w:val="auto"/>
          <w:kern w:val="2"/>
          <w:sz w:val="32"/>
          <w:szCs w:val="24"/>
        </w:rPr>
      </w:pPr>
      <w:r w:rsidRPr="00613263">
        <w:rPr>
          <w:rFonts w:eastAsia="仿宋_GB2312" w:cs="Times New Roman"/>
          <w:snapToGrid/>
          <w:color w:val="auto"/>
          <w:kern w:val="2"/>
          <w:sz w:val="32"/>
          <w:szCs w:val="24"/>
        </w:rPr>
        <w:t>氨逃逸是烟气脱硝工艺中选择性非催化还原（</w:t>
      </w:r>
      <w:r w:rsidRPr="00613263">
        <w:rPr>
          <w:rFonts w:eastAsia="仿宋_GB2312" w:cs="Times New Roman"/>
          <w:snapToGrid/>
          <w:color w:val="auto"/>
          <w:kern w:val="2"/>
          <w:sz w:val="32"/>
          <w:szCs w:val="24"/>
        </w:rPr>
        <w:t>SNCR</w:t>
      </w:r>
      <w:r w:rsidRPr="00613263">
        <w:rPr>
          <w:rFonts w:eastAsia="仿宋_GB2312" w:cs="Times New Roman"/>
          <w:snapToGrid/>
          <w:color w:val="auto"/>
          <w:kern w:val="2"/>
          <w:sz w:val="32"/>
          <w:szCs w:val="24"/>
        </w:rPr>
        <w:t>）或选择性催化还原（</w:t>
      </w:r>
      <w:r w:rsidRPr="00613263">
        <w:rPr>
          <w:rFonts w:eastAsia="仿宋_GB2312" w:cs="Times New Roman"/>
          <w:snapToGrid/>
          <w:color w:val="auto"/>
          <w:kern w:val="2"/>
          <w:sz w:val="32"/>
          <w:szCs w:val="24"/>
        </w:rPr>
        <w:t>SCR</w:t>
      </w:r>
      <w:r w:rsidRPr="00613263">
        <w:rPr>
          <w:rFonts w:eastAsia="仿宋_GB2312" w:cs="Times New Roman"/>
          <w:snapToGrid/>
          <w:color w:val="auto"/>
          <w:kern w:val="2"/>
          <w:sz w:val="32"/>
          <w:szCs w:val="24"/>
        </w:rPr>
        <w:t>）过程中未反应的氨（</w:t>
      </w:r>
      <w:r w:rsidRPr="00613263">
        <w:rPr>
          <w:rFonts w:eastAsia="仿宋_GB2312" w:cs="Times New Roman"/>
          <w:snapToGrid/>
          <w:color w:val="auto"/>
          <w:kern w:val="2"/>
          <w:sz w:val="32"/>
          <w:szCs w:val="24"/>
        </w:rPr>
        <w:t>NH₃</w:t>
      </w:r>
      <w:r w:rsidRPr="00613263">
        <w:rPr>
          <w:rFonts w:eastAsia="仿宋_GB2312" w:cs="Times New Roman"/>
          <w:snapToGrid/>
          <w:color w:val="auto"/>
          <w:kern w:val="2"/>
          <w:sz w:val="32"/>
          <w:szCs w:val="24"/>
        </w:rPr>
        <w:t>）随烟气排放的现象，其排放水平与脱硝技术类型、还原剂投加量、反应温度区间和运行工况密切相关。氨逃逸不仅影响区域空气中二次硝酸盐生成和</w:t>
      </w:r>
      <w:r w:rsidRPr="00613263">
        <w:rPr>
          <w:rFonts w:eastAsia="仿宋_GB2312" w:cs="Times New Roman"/>
          <w:snapToGrid/>
          <w:color w:val="auto"/>
          <w:kern w:val="2"/>
          <w:sz w:val="32"/>
          <w:szCs w:val="24"/>
        </w:rPr>
        <w:t xml:space="preserve"> PM</w:t>
      </w:r>
      <w:r w:rsidRPr="00613263">
        <w:rPr>
          <w:rFonts w:eastAsia="仿宋_GB2312" w:cs="Times New Roman" w:hint="eastAsia"/>
          <w:snapToGrid/>
          <w:color w:val="auto"/>
          <w:kern w:val="2"/>
          <w:sz w:val="32"/>
          <w:szCs w:val="24"/>
          <w:vertAlign w:val="subscript"/>
        </w:rPr>
        <w:t>2.5</w:t>
      </w:r>
      <w:r w:rsidRPr="00613263">
        <w:rPr>
          <w:rFonts w:eastAsia="仿宋_GB2312" w:cs="Times New Roman"/>
          <w:snapToGrid/>
          <w:color w:val="auto"/>
          <w:kern w:val="2"/>
          <w:sz w:val="32"/>
          <w:szCs w:val="24"/>
        </w:rPr>
        <w:t>形成，是清洁燃烧评价中不能忽视的污染物指标</w:t>
      </w:r>
      <w:r>
        <w:rPr>
          <w:rFonts w:eastAsia="仿宋_GB2312" w:cs="Times New Roman" w:hint="eastAsia"/>
          <w:snapToGrid/>
          <w:color w:val="auto"/>
          <w:kern w:val="2"/>
          <w:sz w:val="32"/>
          <w:szCs w:val="24"/>
        </w:rPr>
        <w:t>。本标准参考设置氨逃逸</w:t>
      </w:r>
      <w:r>
        <w:rPr>
          <w:rFonts w:eastAsia="仿宋_GB2312" w:cs="Times New Roman"/>
          <w:snapToGrid/>
          <w:color w:val="auto"/>
          <w:kern w:val="2"/>
          <w:sz w:val="32"/>
          <w:szCs w:val="24"/>
        </w:rPr>
        <w:t>≤</w:t>
      </w:r>
      <w:r>
        <w:rPr>
          <w:rFonts w:eastAsia="仿宋_GB2312" w:cs="Times New Roman" w:hint="eastAsia"/>
          <w:snapToGrid/>
          <w:color w:val="auto"/>
          <w:kern w:val="2"/>
          <w:sz w:val="32"/>
          <w:szCs w:val="24"/>
        </w:rPr>
        <w:t>10mg/m</w:t>
      </w:r>
      <w:r w:rsidRPr="00613263">
        <w:rPr>
          <w:rFonts w:eastAsia="仿宋_GB2312" w:cs="Times New Roman" w:hint="eastAsia"/>
          <w:snapToGrid/>
          <w:color w:val="auto"/>
          <w:kern w:val="2"/>
          <w:sz w:val="32"/>
          <w:szCs w:val="24"/>
          <w:vertAlign w:val="superscript"/>
        </w:rPr>
        <w:t>3</w:t>
      </w:r>
      <w:r>
        <w:rPr>
          <w:rFonts w:eastAsia="仿宋_GB2312" w:cs="Times New Roman" w:hint="eastAsia"/>
          <w:snapToGrid/>
          <w:color w:val="auto"/>
          <w:kern w:val="2"/>
          <w:sz w:val="32"/>
          <w:szCs w:val="24"/>
        </w:rPr>
        <w:t>为Ⅲ级指标，参考</w:t>
      </w:r>
      <w:r w:rsidRPr="00613263">
        <w:rPr>
          <w:rFonts w:eastAsia="仿宋_GB2312" w:cs="Times New Roman"/>
          <w:snapToGrid/>
          <w:color w:val="auto"/>
          <w:kern w:val="2"/>
          <w:sz w:val="32"/>
          <w:szCs w:val="24"/>
        </w:rPr>
        <w:t>GB 13223—202X</w:t>
      </w:r>
      <w:r>
        <w:rPr>
          <w:rFonts w:eastAsia="仿宋_GB2312" w:cs="Times New Roman" w:hint="eastAsia"/>
          <w:snapToGrid/>
          <w:color w:val="auto"/>
          <w:kern w:val="2"/>
          <w:sz w:val="32"/>
          <w:szCs w:val="24"/>
        </w:rPr>
        <w:t>中的</w:t>
      </w:r>
      <w:r w:rsidRPr="00613263">
        <w:rPr>
          <w:rFonts w:eastAsia="仿宋_GB2312" w:cs="Times New Roman"/>
          <w:snapToGrid/>
          <w:color w:val="auto"/>
          <w:kern w:val="2"/>
          <w:sz w:val="32"/>
          <w:szCs w:val="24"/>
        </w:rPr>
        <w:t>≤</w:t>
      </w:r>
      <w:r>
        <w:rPr>
          <w:rFonts w:eastAsia="仿宋_GB2312" w:cs="Times New Roman" w:hint="eastAsia"/>
          <w:snapToGrid/>
          <w:color w:val="auto"/>
          <w:kern w:val="2"/>
          <w:sz w:val="32"/>
          <w:szCs w:val="24"/>
        </w:rPr>
        <w:t>8</w:t>
      </w:r>
      <w:r w:rsidRPr="00613263">
        <w:rPr>
          <w:rFonts w:eastAsia="仿宋_GB2312" w:cs="Times New Roman"/>
          <w:snapToGrid/>
          <w:color w:val="auto"/>
          <w:kern w:val="2"/>
          <w:sz w:val="32"/>
          <w:szCs w:val="24"/>
        </w:rPr>
        <w:t>mg/m</w:t>
      </w:r>
      <w:r w:rsidRPr="00613263">
        <w:rPr>
          <w:rFonts w:eastAsia="仿宋_GB2312" w:cs="Times New Roman" w:hint="eastAsia"/>
          <w:snapToGrid/>
          <w:color w:val="auto"/>
          <w:kern w:val="2"/>
          <w:sz w:val="32"/>
          <w:szCs w:val="24"/>
          <w:vertAlign w:val="superscript"/>
        </w:rPr>
        <w:t>3</w:t>
      </w:r>
      <w:r>
        <w:rPr>
          <w:rFonts w:eastAsia="仿宋_GB2312" w:cs="Times New Roman" w:hint="eastAsia"/>
          <w:snapToGrid/>
          <w:color w:val="auto"/>
          <w:kern w:val="2"/>
          <w:sz w:val="32"/>
          <w:szCs w:val="24"/>
        </w:rPr>
        <w:t>为Ⅱ级指标，</w:t>
      </w:r>
      <w:r w:rsidRPr="00613263">
        <w:rPr>
          <w:rFonts w:eastAsia="仿宋_GB2312" w:cs="Times New Roman"/>
          <w:snapToGrid/>
          <w:color w:val="auto"/>
          <w:kern w:val="2"/>
          <w:sz w:val="32"/>
          <w:szCs w:val="24"/>
        </w:rPr>
        <w:t>≤</w:t>
      </w:r>
      <w:r>
        <w:rPr>
          <w:rFonts w:eastAsia="仿宋_GB2312" w:cs="Times New Roman" w:hint="eastAsia"/>
          <w:snapToGrid/>
          <w:color w:val="auto"/>
          <w:kern w:val="2"/>
          <w:sz w:val="32"/>
          <w:szCs w:val="24"/>
        </w:rPr>
        <w:t>5</w:t>
      </w:r>
      <w:r w:rsidRPr="00613263">
        <w:rPr>
          <w:rFonts w:eastAsia="仿宋_GB2312" w:cs="Times New Roman"/>
          <w:snapToGrid/>
          <w:color w:val="auto"/>
          <w:kern w:val="2"/>
          <w:sz w:val="32"/>
          <w:szCs w:val="24"/>
        </w:rPr>
        <w:t>mg/m</w:t>
      </w:r>
      <w:r w:rsidRPr="00613263">
        <w:rPr>
          <w:rFonts w:eastAsia="仿宋_GB2312" w:cs="Times New Roman" w:hint="eastAsia"/>
          <w:snapToGrid/>
          <w:color w:val="auto"/>
          <w:kern w:val="2"/>
          <w:sz w:val="32"/>
          <w:szCs w:val="24"/>
          <w:vertAlign w:val="superscript"/>
        </w:rPr>
        <w:t>3</w:t>
      </w:r>
      <w:r>
        <w:rPr>
          <w:rFonts w:eastAsia="仿宋_GB2312" w:cs="Times New Roman" w:hint="eastAsia"/>
          <w:snapToGrid/>
          <w:color w:val="auto"/>
          <w:kern w:val="2"/>
          <w:sz w:val="32"/>
          <w:szCs w:val="24"/>
        </w:rPr>
        <w:t>为Ⅰ级指标，</w:t>
      </w:r>
      <w:r w:rsidRPr="00613263">
        <w:rPr>
          <w:rFonts w:eastAsia="仿宋_GB2312" w:cs="Times New Roman"/>
          <w:snapToGrid/>
          <w:color w:val="auto"/>
          <w:kern w:val="2"/>
          <w:sz w:val="32"/>
          <w:szCs w:val="24"/>
        </w:rPr>
        <w:t>旨在引导锅炉系统优化脱硝工艺，降低氨逃逸排放，提高燃烧和排放控制的整体效果。</w:t>
      </w:r>
    </w:p>
    <w:p w14:paraId="33FE8ECF" w14:textId="116D7A07" w:rsidR="00613263" w:rsidRPr="00613263"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对于汞及其化合物大气排放控制要求，</w:t>
      </w:r>
      <w:r w:rsidR="003C6ABB">
        <w:rPr>
          <w:rFonts w:eastAsia="仿宋_GB2312" w:cs="Times New Roman" w:hint="eastAsia"/>
          <w:snapToGrid/>
          <w:color w:val="auto"/>
          <w:kern w:val="2"/>
          <w:sz w:val="32"/>
          <w:szCs w:val="24"/>
        </w:rPr>
        <w:t>编制组前期调研发现</w:t>
      </w:r>
      <w:r>
        <w:rPr>
          <w:rFonts w:eastAsia="仿宋_GB2312" w:cs="Times New Roman"/>
          <w:snapToGrid/>
          <w:color w:val="auto"/>
          <w:kern w:val="2"/>
          <w:sz w:val="32"/>
          <w:szCs w:val="24"/>
        </w:rPr>
        <w:t>GB 13223—202X</w:t>
      </w:r>
      <w:r>
        <w:rPr>
          <w:rFonts w:eastAsia="仿宋_GB2312" w:cs="Times New Roman"/>
          <w:snapToGrid/>
          <w:color w:val="auto"/>
          <w:kern w:val="2"/>
          <w:sz w:val="32"/>
          <w:szCs w:val="24"/>
        </w:rPr>
        <w:t>和</w:t>
      </w:r>
      <w:r>
        <w:rPr>
          <w:rFonts w:eastAsia="仿宋_GB2312" w:cs="Times New Roman"/>
          <w:snapToGrid/>
          <w:color w:val="auto"/>
          <w:kern w:val="2"/>
          <w:sz w:val="32"/>
          <w:szCs w:val="24"/>
        </w:rPr>
        <w:t>GB 13271—2014</w:t>
      </w:r>
      <w:r>
        <w:rPr>
          <w:rFonts w:eastAsia="仿宋_GB2312" w:cs="Times New Roman"/>
          <w:snapToGrid/>
          <w:color w:val="auto"/>
          <w:kern w:val="2"/>
          <w:sz w:val="32"/>
          <w:szCs w:val="24"/>
        </w:rPr>
        <w:t>中规定的限值保持一致，设置汞及其化合物排放日均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不高于</w:t>
      </w:r>
      <w:r>
        <w:rPr>
          <w:rFonts w:eastAsia="仿宋_GB2312" w:cs="Times New Roman"/>
          <w:snapToGrid/>
          <w:color w:val="auto"/>
          <w:kern w:val="2"/>
          <w:sz w:val="32"/>
          <w:szCs w:val="24"/>
        </w:rPr>
        <w:t>0.05 mg/m</w:t>
      </w:r>
      <w:r>
        <w:rPr>
          <w:rFonts w:eastAsia="仿宋_GB2312" w:cs="Times New Roman"/>
          <w:snapToGrid/>
          <w:color w:val="auto"/>
          <w:kern w:val="2"/>
          <w:sz w:val="32"/>
          <w:szCs w:val="24"/>
          <w:vertAlign w:val="superscript"/>
        </w:rPr>
        <w:t>3</w:t>
      </w:r>
      <w:r w:rsidR="00613263">
        <w:rPr>
          <w:rFonts w:eastAsia="仿宋_GB2312" w:cs="Times New Roman" w:hint="eastAsia"/>
          <w:snapToGrid/>
          <w:color w:val="auto"/>
          <w:kern w:val="2"/>
          <w:sz w:val="32"/>
          <w:szCs w:val="24"/>
        </w:rPr>
        <w:t>。</w:t>
      </w:r>
      <w:r w:rsidR="003C6ABB">
        <w:rPr>
          <w:rFonts w:eastAsia="仿宋_GB2312" w:cs="Times New Roman" w:hint="eastAsia"/>
          <w:snapToGrid/>
          <w:color w:val="auto"/>
          <w:kern w:val="2"/>
          <w:sz w:val="32"/>
          <w:szCs w:val="24"/>
        </w:rPr>
        <w:t>然而，考虑到</w:t>
      </w:r>
      <w:r w:rsidR="00613263">
        <w:rPr>
          <w:rFonts w:eastAsia="仿宋_GB2312" w:cs="Times New Roman" w:hint="eastAsia"/>
          <w:snapToGrid/>
          <w:color w:val="auto"/>
          <w:kern w:val="2"/>
          <w:sz w:val="32"/>
          <w:szCs w:val="24"/>
        </w:rPr>
        <w:t>生物质原料的汞含量极低，</w:t>
      </w:r>
      <w:r w:rsidR="003C6ABB">
        <w:rPr>
          <w:rFonts w:eastAsia="仿宋_GB2312" w:cs="Times New Roman" w:hint="eastAsia"/>
          <w:snapToGrid/>
          <w:color w:val="auto"/>
          <w:kern w:val="2"/>
          <w:sz w:val="32"/>
          <w:szCs w:val="24"/>
        </w:rPr>
        <w:t>并</w:t>
      </w:r>
      <w:r w:rsidR="00613263">
        <w:rPr>
          <w:rFonts w:eastAsia="仿宋_GB2312" w:cs="Times New Roman" w:hint="eastAsia"/>
          <w:snapToGrid/>
          <w:color w:val="auto"/>
          <w:kern w:val="2"/>
          <w:sz w:val="32"/>
          <w:szCs w:val="24"/>
        </w:rPr>
        <w:t>结合对广西生物质锅炉的实际采样分析结果</w:t>
      </w:r>
      <w:r w:rsidR="003C6ABB">
        <w:rPr>
          <w:rFonts w:eastAsia="仿宋_GB2312" w:cs="Times New Roman" w:hint="eastAsia"/>
          <w:snapToGrid/>
          <w:color w:val="auto"/>
          <w:kern w:val="2"/>
          <w:sz w:val="32"/>
          <w:szCs w:val="24"/>
        </w:rPr>
        <w:t>（</w:t>
      </w:r>
      <w:r w:rsidR="00613263">
        <w:rPr>
          <w:rFonts w:eastAsia="仿宋_GB2312" w:cs="Times New Roman" w:hint="eastAsia"/>
          <w:snapToGrid/>
          <w:color w:val="auto"/>
          <w:kern w:val="2"/>
          <w:sz w:val="32"/>
          <w:szCs w:val="24"/>
        </w:rPr>
        <w:t>如表</w:t>
      </w:r>
      <w:r w:rsidR="00613263">
        <w:rPr>
          <w:rFonts w:eastAsia="仿宋_GB2312" w:cs="Times New Roman" w:hint="eastAsia"/>
          <w:snapToGrid/>
          <w:color w:val="auto"/>
          <w:kern w:val="2"/>
          <w:sz w:val="32"/>
          <w:szCs w:val="24"/>
        </w:rPr>
        <w:t>9</w:t>
      </w:r>
      <w:r w:rsidR="00613263">
        <w:rPr>
          <w:rFonts w:eastAsia="仿宋_GB2312" w:cs="Times New Roman" w:hint="eastAsia"/>
          <w:snapToGrid/>
          <w:color w:val="auto"/>
          <w:kern w:val="2"/>
          <w:sz w:val="32"/>
          <w:szCs w:val="24"/>
        </w:rPr>
        <w:t>所示</w:t>
      </w:r>
      <w:r w:rsidR="003C6ABB">
        <w:rPr>
          <w:rFonts w:eastAsia="仿宋_GB2312" w:cs="Times New Roman" w:hint="eastAsia"/>
          <w:snapToGrid/>
          <w:color w:val="auto"/>
          <w:kern w:val="2"/>
          <w:sz w:val="32"/>
          <w:szCs w:val="24"/>
        </w:rPr>
        <w:t>）</w:t>
      </w:r>
      <w:r w:rsidR="00613263">
        <w:rPr>
          <w:rFonts w:eastAsia="仿宋_GB2312" w:cs="Times New Roman" w:hint="eastAsia"/>
          <w:snapToGrid/>
          <w:color w:val="auto"/>
          <w:kern w:val="2"/>
          <w:sz w:val="32"/>
          <w:szCs w:val="24"/>
        </w:rPr>
        <w:t>，</w:t>
      </w:r>
      <w:r w:rsidR="003C6ABB">
        <w:rPr>
          <w:rFonts w:eastAsia="仿宋_GB2312" w:cs="Times New Roman" w:hint="eastAsia"/>
          <w:snapToGrid/>
          <w:color w:val="auto"/>
          <w:kern w:val="2"/>
          <w:sz w:val="32"/>
          <w:szCs w:val="24"/>
        </w:rPr>
        <w:t>本标准提出对</w:t>
      </w:r>
      <w:r w:rsidR="00613263">
        <w:rPr>
          <w:rFonts w:eastAsia="仿宋_GB2312" w:cs="Times New Roman" w:hint="eastAsia"/>
          <w:snapToGrid/>
          <w:color w:val="auto"/>
          <w:kern w:val="2"/>
          <w:sz w:val="32"/>
          <w:szCs w:val="24"/>
        </w:rPr>
        <w:t>生物质锅炉</w:t>
      </w:r>
      <w:r w:rsidR="003C6ABB">
        <w:rPr>
          <w:rFonts w:eastAsia="仿宋_GB2312" w:cs="Times New Roman" w:hint="eastAsia"/>
          <w:snapToGrid/>
          <w:color w:val="auto"/>
          <w:kern w:val="2"/>
          <w:sz w:val="32"/>
          <w:szCs w:val="24"/>
        </w:rPr>
        <w:t>可</w:t>
      </w:r>
      <w:r w:rsidR="00613263">
        <w:rPr>
          <w:rFonts w:eastAsia="仿宋_GB2312" w:cs="Times New Roman" w:hint="eastAsia"/>
          <w:snapToGrid/>
          <w:color w:val="auto"/>
          <w:kern w:val="2"/>
          <w:sz w:val="32"/>
          <w:szCs w:val="24"/>
        </w:rPr>
        <w:t>实行超低</w:t>
      </w:r>
      <w:r w:rsidR="00613263">
        <w:rPr>
          <w:rFonts w:eastAsia="仿宋_GB2312" w:cs="Times New Roman" w:hint="eastAsia"/>
          <w:snapToGrid/>
          <w:color w:val="auto"/>
          <w:kern w:val="2"/>
          <w:sz w:val="32"/>
          <w:szCs w:val="24"/>
        </w:rPr>
        <w:lastRenderedPageBreak/>
        <w:t>排放</w:t>
      </w:r>
      <w:r w:rsidR="003C6ABB">
        <w:rPr>
          <w:rFonts w:eastAsia="仿宋_GB2312" w:cs="Times New Roman" w:hint="eastAsia"/>
          <w:snapToGrid/>
          <w:color w:val="auto"/>
          <w:kern w:val="2"/>
          <w:sz w:val="32"/>
          <w:szCs w:val="24"/>
        </w:rPr>
        <w:t>分级。</w:t>
      </w:r>
      <w:r w:rsidR="00613263" w:rsidRPr="00613263">
        <w:rPr>
          <w:rFonts w:eastAsia="仿宋_GB2312" w:hint="eastAsia"/>
          <w:color w:val="auto"/>
          <w:kern w:val="2"/>
          <w:sz w:val="32"/>
          <w:szCs w:val="24"/>
        </w:rPr>
        <w:t>监测结果表明，在所监测的锅炉中，仅有少数锅炉</w:t>
      </w:r>
      <w:proofErr w:type="gramStart"/>
      <w:r w:rsidR="00613263" w:rsidRPr="00613263">
        <w:rPr>
          <w:rFonts w:eastAsia="仿宋_GB2312" w:hint="eastAsia"/>
          <w:color w:val="auto"/>
          <w:kern w:val="2"/>
          <w:sz w:val="32"/>
          <w:szCs w:val="24"/>
        </w:rPr>
        <w:t>检测到汞及其</w:t>
      </w:r>
      <w:proofErr w:type="gramEnd"/>
      <w:r w:rsidR="00613263" w:rsidRPr="00613263">
        <w:rPr>
          <w:rFonts w:eastAsia="仿宋_GB2312" w:hint="eastAsia"/>
          <w:color w:val="auto"/>
          <w:kern w:val="2"/>
          <w:sz w:val="32"/>
          <w:szCs w:val="24"/>
        </w:rPr>
        <w:t>化合物排放，实测浓度范围为</w:t>
      </w:r>
      <w:r w:rsidR="00613263" w:rsidRPr="00613263">
        <w:rPr>
          <w:rFonts w:eastAsia="仿宋_GB2312" w:hint="eastAsia"/>
          <w:color w:val="auto"/>
          <w:kern w:val="2"/>
          <w:sz w:val="32"/>
          <w:szCs w:val="24"/>
        </w:rPr>
        <w:t>1</w:t>
      </w:r>
      <w:r w:rsidR="00613263" w:rsidRPr="00613263">
        <w:rPr>
          <w:rFonts w:eastAsia="仿宋_GB2312" w:hint="eastAsia"/>
          <w:color w:val="auto"/>
          <w:kern w:val="2"/>
          <w:sz w:val="32"/>
          <w:szCs w:val="24"/>
        </w:rPr>
        <w:t>×</w:t>
      </w:r>
      <w:r w:rsidR="00613263" w:rsidRPr="00613263">
        <w:rPr>
          <w:rFonts w:eastAsia="仿宋_GB2312" w:hint="eastAsia"/>
          <w:color w:val="auto"/>
          <w:kern w:val="2"/>
          <w:sz w:val="32"/>
          <w:szCs w:val="24"/>
        </w:rPr>
        <w:t>10</w:t>
      </w:r>
      <w:r w:rsidR="00613263" w:rsidRPr="00613263">
        <w:rPr>
          <w:rFonts w:eastAsia="仿宋_GB2312" w:hint="eastAsia"/>
          <w:color w:val="auto"/>
          <w:kern w:val="2"/>
          <w:sz w:val="32"/>
          <w:szCs w:val="24"/>
          <w:vertAlign w:val="superscript"/>
        </w:rPr>
        <w:t>-4</w:t>
      </w:r>
      <w:r w:rsidR="00613263" w:rsidRPr="00613263">
        <w:rPr>
          <w:rFonts w:eastAsia="仿宋_GB2312" w:hint="eastAsia"/>
          <w:color w:val="auto"/>
          <w:kern w:val="2"/>
          <w:sz w:val="32"/>
          <w:szCs w:val="24"/>
        </w:rPr>
        <w:t>~37</w:t>
      </w:r>
      <w:r w:rsidR="00613263" w:rsidRPr="00613263">
        <w:rPr>
          <w:rFonts w:eastAsia="仿宋_GB2312" w:hint="eastAsia"/>
          <w:color w:val="auto"/>
          <w:kern w:val="2"/>
          <w:sz w:val="32"/>
          <w:szCs w:val="24"/>
        </w:rPr>
        <w:t>×</w:t>
      </w:r>
      <w:r w:rsidR="00613263" w:rsidRPr="00613263">
        <w:rPr>
          <w:rFonts w:eastAsia="仿宋_GB2312" w:hint="eastAsia"/>
          <w:color w:val="auto"/>
          <w:kern w:val="2"/>
          <w:sz w:val="32"/>
          <w:szCs w:val="24"/>
        </w:rPr>
        <w:t>10</w:t>
      </w:r>
      <w:r w:rsidR="00613263" w:rsidRPr="00613263">
        <w:rPr>
          <w:rFonts w:eastAsia="仿宋_GB2312" w:hint="eastAsia"/>
          <w:color w:val="auto"/>
          <w:kern w:val="2"/>
          <w:sz w:val="32"/>
          <w:szCs w:val="24"/>
          <w:vertAlign w:val="superscript"/>
        </w:rPr>
        <w:t>-4</w:t>
      </w:r>
      <w:r w:rsidR="00613263" w:rsidRPr="00613263">
        <w:rPr>
          <w:rFonts w:eastAsia="仿宋_GB2312" w:hint="eastAsia"/>
          <w:color w:val="auto"/>
          <w:kern w:val="2"/>
          <w:sz w:val="32"/>
          <w:szCs w:val="24"/>
        </w:rPr>
        <w:t xml:space="preserve"> </w:t>
      </w:r>
      <w:r w:rsidR="00613263" w:rsidRPr="00613263">
        <w:rPr>
          <w:rFonts w:eastAsia="仿宋_GB2312"/>
          <w:color w:val="auto"/>
          <w:kern w:val="2"/>
          <w:sz w:val="32"/>
          <w:szCs w:val="24"/>
        </w:rPr>
        <w:t>mg/m</w:t>
      </w:r>
      <w:r w:rsidR="00613263" w:rsidRPr="00613263">
        <w:rPr>
          <w:rFonts w:eastAsia="仿宋_GB2312" w:hint="eastAsia"/>
          <w:color w:val="auto"/>
          <w:kern w:val="2"/>
          <w:sz w:val="32"/>
          <w:szCs w:val="24"/>
          <w:vertAlign w:val="superscript"/>
        </w:rPr>
        <w:t>3</w:t>
      </w:r>
      <w:r w:rsidR="00613263" w:rsidRPr="00613263">
        <w:rPr>
          <w:rFonts w:eastAsia="仿宋_GB2312" w:hint="eastAsia"/>
          <w:color w:val="auto"/>
          <w:kern w:val="2"/>
          <w:sz w:val="32"/>
          <w:szCs w:val="24"/>
        </w:rPr>
        <w:t>，均显著低于规定的</w:t>
      </w:r>
      <w:r w:rsidR="00613263" w:rsidRPr="00613263">
        <w:rPr>
          <w:rFonts w:eastAsia="仿宋_GB2312"/>
          <w:color w:val="auto"/>
          <w:kern w:val="2"/>
          <w:sz w:val="32"/>
          <w:szCs w:val="24"/>
        </w:rPr>
        <w:t>0.05mg/m</w:t>
      </w:r>
      <w:r w:rsidR="00613263" w:rsidRPr="00613263">
        <w:rPr>
          <w:rFonts w:hint="eastAsia"/>
          <w:vertAlign w:val="superscript"/>
        </w:rPr>
        <w:t>3</w:t>
      </w:r>
      <w:r w:rsidR="00613263" w:rsidRPr="00613263">
        <w:rPr>
          <w:rFonts w:eastAsia="仿宋_GB2312"/>
          <w:color w:val="auto"/>
          <w:kern w:val="2"/>
          <w:sz w:val="32"/>
          <w:szCs w:val="24"/>
        </w:rPr>
        <w:t xml:space="preserve"> </w:t>
      </w:r>
      <w:r w:rsidR="00613263" w:rsidRPr="00613263">
        <w:rPr>
          <w:rFonts w:eastAsia="仿宋_GB2312" w:hint="eastAsia"/>
          <w:color w:val="auto"/>
          <w:kern w:val="2"/>
          <w:sz w:val="32"/>
          <w:szCs w:val="24"/>
        </w:rPr>
        <w:t>排放限值；其余生物质锅炉汞及其化合物排放浓度均低于仪器检测限。</w:t>
      </w:r>
    </w:p>
    <w:p w14:paraId="47B96408" w14:textId="77777777" w:rsidR="00613263" w:rsidRDefault="00613263" w:rsidP="00084192">
      <w:pPr>
        <w:widowControl/>
        <w:kinsoku w:val="0"/>
        <w:autoSpaceDE w:val="0"/>
        <w:autoSpaceDN w:val="0"/>
        <w:adjustRightInd w:val="0"/>
        <w:snapToGrid w:val="0"/>
        <w:spacing w:line="540" w:lineRule="exact"/>
        <w:ind w:firstLine="640"/>
        <w:textAlignment w:val="baseline"/>
      </w:pPr>
      <w:r w:rsidRPr="00613263">
        <w:rPr>
          <w:rFonts w:hint="eastAsia"/>
        </w:rPr>
        <w:t>从排放特征分析，生物质自身燃料中汞含量普遍较低，是生物质锅炉汞排放水平整体偏低的主要原因。同时，生物质燃烧过程中形成的灰分及飞灰颗粒对</w:t>
      </w:r>
      <w:proofErr w:type="gramStart"/>
      <w:r w:rsidRPr="00613263">
        <w:rPr>
          <w:rFonts w:hint="eastAsia"/>
        </w:rPr>
        <w:t>汞具有</w:t>
      </w:r>
      <w:proofErr w:type="gramEnd"/>
      <w:r w:rsidRPr="00613263">
        <w:rPr>
          <w:rFonts w:hint="eastAsia"/>
        </w:rPr>
        <w:t>一定的吸附和捕集作用，有助于</w:t>
      </w:r>
      <w:proofErr w:type="gramStart"/>
      <w:r w:rsidRPr="00613263">
        <w:rPr>
          <w:rFonts w:hint="eastAsia"/>
        </w:rPr>
        <w:t>抑制汞向烟气</w:t>
      </w:r>
      <w:proofErr w:type="gramEnd"/>
      <w:r w:rsidRPr="00613263">
        <w:rPr>
          <w:rFonts w:hint="eastAsia"/>
        </w:rPr>
        <w:t>相的迁移。个别锅炉检测到相对较高汞排放浓度，可能与燃料来源差异、掺烧其他燃料或历史设备污染累积等因素有关。</w:t>
      </w:r>
    </w:p>
    <w:p w14:paraId="2DA583DE" w14:textId="71F1F003" w:rsidR="003C6ABB" w:rsidRPr="00613263" w:rsidRDefault="003C6ABB" w:rsidP="00084192">
      <w:pPr>
        <w:widowControl/>
        <w:kinsoku w:val="0"/>
        <w:autoSpaceDE w:val="0"/>
        <w:autoSpaceDN w:val="0"/>
        <w:adjustRightInd w:val="0"/>
        <w:snapToGrid w:val="0"/>
        <w:spacing w:line="540" w:lineRule="exact"/>
        <w:ind w:firstLine="640"/>
        <w:textAlignment w:val="baseline"/>
      </w:pPr>
      <w:r>
        <w:rPr>
          <w:rFonts w:hint="eastAsia"/>
        </w:rPr>
        <w:t>因此，</w:t>
      </w:r>
      <w:r w:rsidRPr="003C6ABB">
        <w:t>本标准设定汞及其化合物的排放基准值</w:t>
      </w:r>
      <w:r>
        <w:rPr>
          <w:rFonts w:hint="eastAsia"/>
        </w:rPr>
        <w:t>为Ⅰ级</w:t>
      </w:r>
      <w:r>
        <w:t>≤</w:t>
      </w:r>
      <w:r>
        <w:rPr>
          <w:rFonts w:hint="eastAsia"/>
        </w:rPr>
        <w:t>0.001mg/m</w:t>
      </w:r>
      <w:r w:rsidRPr="003C6ABB">
        <w:rPr>
          <w:rFonts w:hint="eastAsia"/>
          <w:vertAlign w:val="superscript"/>
        </w:rPr>
        <w:t>3</w:t>
      </w:r>
      <w:r>
        <w:rPr>
          <w:rFonts w:hint="eastAsia"/>
        </w:rPr>
        <w:t>，Ⅱ、Ⅲ级</w:t>
      </w:r>
      <w:r>
        <w:t>≤</w:t>
      </w:r>
      <w:r>
        <w:rPr>
          <w:rFonts w:hint="eastAsia"/>
        </w:rPr>
        <w:t>0.003mg/m</w:t>
      </w:r>
      <w:r w:rsidRPr="003C6ABB">
        <w:rPr>
          <w:rFonts w:hint="eastAsia"/>
          <w:vertAlign w:val="superscript"/>
        </w:rPr>
        <w:t>3</w:t>
      </w:r>
      <w:r>
        <w:rPr>
          <w:rFonts w:hint="eastAsia"/>
        </w:rPr>
        <w:t>。</w:t>
      </w:r>
    </w:p>
    <w:p w14:paraId="329CEF25" w14:textId="011CA856" w:rsidR="00613263" w:rsidRPr="00346982" w:rsidRDefault="00613263" w:rsidP="00613263">
      <w:pPr>
        <w:autoSpaceDE w:val="0"/>
        <w:autoSpaceDN w:val="0"/>
        <w:adjustRightInd w:val="0"/>
        <w:spacing w:line="560" w:lineRule="exact"/>
        <w:ind w:firstLineChars="0" w:firstLine="0"/>
        <w:jc w:val="center"/>
        <w:rPr>
          <w:sz w:val="28"/>
          <w:szCs w:val="28"/>
        </w:rPr>
      </w:pPr>
      <w:bookmarkStart w:id="6" w:name="_Toc25285"/>
      <w:r>
        <w:rPr>
          <w:sz w:val="28"/>
          <w:szCs w:val="28"/>
        </w:rPr>
        <w:t>表</w:t>
      </w:r>
      <w:r>
        <w:rPr>
          <w:rFonts w:hint="eastAsia"/>
          <w:sz w:val="28"/>
          <w:szCs w:val="28"/>
        </w:rPr>
        <w:t>9</w:t>
      </w:r>
      <w:r>
        <w:rPr>
          <w:sz w:val="28"/>
          <w:szCs w:val="28"/>
        </w:rPr>
        <w:t xml:space="preserve"> </w:t>
      </w:r>
      <w:r w:rsidR="003C6ABB" w:rsidRPr="003C6ABB">
        <w:rPr>
          <w:rFonts w:hint="eastAsia"/>
          <w:sz w:val="28"/>
          <w:szCs w:val="28"/>
        </w:rPr>
        <w:t>各类型生物质锅炉烟气汞浓度</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4936"/>
        <w:gridCol w:w="2546"/>
      </w:tblGrid>
      <w:tr w:rsidR="00613263" w:rsidRPr="00613263" w14:paraId="49F0CC76" w14:textId="77777777" w:rsidTr="00613263">
        <w:trPr>
          <w:jc w:val="center"/>
        </w:trPr>
        <w:tc>
          <w:tcPr>
            <w:tcW w:w="839" w:type="pct"/>
            <w:tcBorders>
              <w:top w:val="single" w:sz="12" w:space="0" w:color="auto"/>
              <w:left w:val="single" w:sz="4" w:space="0" w:color="auto"/>
              <w:bottom w:val="single" w:sz="8" w:space="0" w:color="auto"/>
              <w:right w:val="single" w:sz="4" w:space="0" w:color="auto"/>
            </w:tcBorders>
            <w:vAlign w:val="center"/>
          </w:tcPr>
          <w:bookmarkEnd w:id="6"/>
          <w:p w14:paraId="161C522D" w14:textId="77777777" w:rsidR="00613263" w:rsidRPr="00613263" w:rsidRDefault="00613263" w:rsidP="00613263">
            <w:pPr>
              <w:spacing w:line="360" w:lineRule="auto"/>
              <w:ind w:firstLineChars="0" w:firstLine="0"/>
              <w:jc w:val="center"/>
              <w:rPr>
                <w:rFonts w:ascii="仿宋_GB2312"/>
                <w:sz w:val="24"/>
              </w:rPr>
            </w:pPr>
            <w:r w:rsidRPr="00613263">
              <w:rPr>
                <w:rFonts w:ascii="仿宋_GB2312" w:hint="eastAsia"/>
                <w:sz w:val="24"/>
              </w:rPr>
              <w:t>序号</w:t>
            </w:r>
          </w:p>
        </w:tc>
        <w:tc>
          <w:tcPr>
            <w:tcW w:w="2745" w:type="pct"/>
            <w:tcBorders>
              <w:top w:val="single" w:sz="12" w:space="0" w:color="auto"/>
              <w:left w:val="single" w:sz="4" w:space="0" w:color="auto"/>
              <w:bottom w:val="single" w:sz="8" w:space="0" w:color="auto"/>
              <w:right w:val="single" w:sz="4" w:space="0" w:color="auto"/>
            </w:tcBorders>
            <w:vAlign w:val="center"/>
          </w:tcPr>
          <w:p w14:paraId="5789548C" w14:textId="77777777" w:rsidR="00613263" w:rsidRPr="00613263" w:rsidRDefault="00613263" w:rsidP="00613263">
            <w:pPr>
              <w:spacing w:line="360" w:lineRule="auto"/>
              <w:ind w:firstLineChars="0" w:firstLine="0"/>
              <w:jc w:val="center"/>
              <w:rPr>
                <w:rFonts w:ascii="仿宋_GB2312"/>
                <w:sz w:val="24"/>
              </w:rPr>
            </w:pPr>
            <w:r w:rsidRPr="00613263">
              <w:rPr>
                <w:rFonts w:ascii="仿宋_GB2312" w:hint="eastAsia"/>
                <w:sz w:val="24"/>
              </w:rPr>
              <w:t>锅炉类型</w:t>
            </w:r>
          </w:p>
        </w:tc>
        <w:tc>
          <w:tcPr>
            <w:tcW w:w="1416" w:type="pct"/>
            <w:tcBorders>
              <w:top w:val="single" w:sz="12" w:space="0" w:color="auto"/>
              <w:left w:val="single" w:sz="4" w:space="0" w:color="auto"/>
              <w:bottom w:val="single" w:sz="8" w:space="0" w:color="auto"/>
              <w:right w:val="single" w:sz="4" w:space="0" w:color="auto"/>
            </w:tcBorders>
            <w:vAlign w:val="center"/>
          </w:tcPr>
          <w:p w14:paraId="4A7D74A5" w14:textId="77777777" w:rsidR="00613263" w:rsidRPr="00613263" w:rsidRDefault="00613263" w:rsidP="00613263">
            <w:pPr>
              <w:spacing w:line="360" w:lineRule="auto"/>
              <w:ind w:firstLineChars="0" w:firstLine="0"/>
              <w:jc w:val="center"/>
              <w:rPr>
                <w:rFonts w:ascii="仿宋_GB2312"/>
                <w:sz w:val="24"/>
              </w:rPr>
            </w:pPr>
            <w:r w:rsidRPr="00613263">
              <w:rPr>
                <w:rFonts w:ascii="仿宋_GB2312" w:hint="eastAsia"/>
                <w:sz w:val="24"/>
              </w:rPr>
              <w:t>汞及其化合物排放浓度(mg/m</w:t>
            </w:r>
            <w:r w:rsidRPr="00613263">
              <w:rPr>
                <w:rFonts w:ascii="仿宋_GB2312" w:hint="eastAsia"/>
                <w:sz w:val="24"/>
                <w:vertAlign w:val="superscript"/>
              </w:rPr>
              <w:t>3</w:t>
            </w:r>
            <w:r w:rsidRPr="00613263">
              <w:rPr>
                <w:rFonts w:ascii="仿宋_GB2312" w:hint="eastAsia"/>
                <w:sz w:val="24"/>
              </w:rPr>
              <w:t>)</w:t>
            </w:r>
          </w:p>
        </w:tc>
      </w:tr>
      <w:tr w:rsidR="00613263" w:rsidRPr="00613263" w14:paraId="1A3402D3" w14:textId="77777777" w:rsidTr="00613263">
        <w:trPr>
          <w:jc w:val="center"/>
        </w:trPr>
        <w:tc>
          <w:tcPr>
            <w:tcW w:w="839" w:type="pct"/>
            <w:tcBorders>
              <w:top w:val="single" w:sz="8" w:space="0" w:color="auto"/>
              <w:left w:val="single" w:sz="4" w:space="0" w:color="auto"/>
              <w:bottom w:val="nil"/>
              <w:right w:val="single" w:sz="4" w:space="0" w:color="auto"/>
            </w:tcBorders>
            <w:vAlign w:val="center"/>
          </w:tcPr>
          <w:p w14:paraId="35E0A1A3" w14:textId="77777777" w:rsidR="00613263" w:rsidRPr="00613263" w:rsidRDefault="00613263" w:rsidP="00613263">
            <w:pPr>
              <w:spacing w:line="360" w:lineRule="auto"/>
              <w:ind w:firstLineChars="0" w:firstLine="0"/>
              <w:jc w:val="center"/>
              <w:rPr>
                <w:sz w:val="24"/>
              </w:rPr>
            </w:pPr>
            <w:r w:rsidRPr="00613263">
              <w:rPr>
                <w:sz w:val="24"/>
              </w:rPr>
              <w:t>1-HT</w:t>
            </w:r>
          </w:p>
        </w:tc>
        <w:tc>
          <w:tcPr>
            <w:tcW w:w="2745" w:type="pct"/>
            <w:tcBorders>
              <w:top w:val="single" w:sz="8" w:space="0" w:color="auto"/>
              <w:left w:val="single" w:sz="4" w:space="0" w:color="auto"/>
              <w:bottom w:val="nil"/>
              <w:right w:val="single" w:sz="4" w:space="0" w:color="auto"/>
            </w:tcBorders>
            <w:vAlign w:val="center"/>
          </w:tcPr>
          <w:p w14:paraId="05A5AABB" w14:textId="77777777" w:rsidR="00613263" w:rsidRPr="00613263" w:rsidRDefault="00613263" w:rsidP="00613263">
            <w:pPr>
              <w:spacing w:line="360" w:lineRule="auto"/>
              <w:ind w:firstLineChars="0" w:firstLine="0"/>
              <w:jc w:val="center"/>
              <w:rPr>
                <w:sz w:val="24"/>
              </w:rPr>
            </w:pPr>
            <w:r w:rsidRPr="00613263">
              <w:rPr>
                <w:sz w:val="24"/>
              </w:rPr>
              <w:t>生物质成型燃料锅炉</w:t>
            </w:r>
          </w:p>
        </w:tc>
        <w:tc>
          <w:tcPr>
            <w:tcW w:w="1416" w:type="pct"/>
            <w:tcBorders>
              <w:top w:val="single" w:sz="8" w:space="0" w:color="auto"/>
              <w:left w:val="single" w:sz="4" w:space="0" w:color="auto"/>
              <w:bottom w:val="nil"/>
              <w:right w:val="single" w:sz="4" w:space="0" w:color="auto"/>
            </w:tcBorders>
            <w:vAlign w:val="center"/>
          </w:tcPr>
          <w:p w14:paraId="3F938A78" w14:textId="77777777" w:rsidR="00613263" w:rsidRPr="00613263" w:rsidRDefault="00613263" w:rsidP="00613263">
            <w:pPr>
              <w:spacing w:line="360" w:lineRule="auto"/>
              <w:ind w:firstLineChars="0" w:firstLine="0"/>
              <w:jc w:val="center"/>
              <w:rPr>
                <w:sz w:val="24"/>
              </w:rPr>
            </w:pPr>
            <w:r w:rsidRPr="00613263">
              <w:rPr>
                <w:sz w:val="24"/>
              </w:rPr>
              <w:t>7×10</w:t>
            </w:r>
            <w:r w:rsidRPr="00613263">
              <w:rPr>
                <w:sz w:val="24"/>
                <w:vertAlign w:val="superscript"/>
              </w:rPr>
              <w:t>-4</w:t>
            </w:r>
          </w:p>
        </w:tc>
      </w:tr>
      <w:tr w:rsidR="00613263" w:rsidRPr="00613263" w14:paraId="6A2ED967" w14:textId="77777777" w:rsidTr="00613263">
        <w:trPr>
          <w:trHeight w:val="268"/>
          <w:jc w:val="center"/>
        </w:trPr>
        <w:tc>
          <w:tcPr>
            <w:tcW w:w="839" w:type="pct"/>
            <w:tcBorders>
              <w:top w:val="nil"/>
              <w:left w:val="single" w:sz="4" w:space="0" w:color="auto"/>
              <w:bottom w:val="nil"/>
              <w:right w:val="single" w:sz="4" w:space="0" w:color="auto"/>
            </w:tcBorders>
            <w:vAlign w:val="center"/>
          </w:tcPr>
          <w:p w14:paraId="585D1B56" w14:textId="77777777" w:rsidR="00613263" w:rsidRPr="00613263" w:rsidRDefault="00613263" w:rsidP="00613263">
            <w:pPr>
              <w:spacing w:line="360" w:lineRule="auto"/>
              <w:ind w:firstLineChars="0" w:firstLine="0"/>
              <w:jc w:val="center"/>
              <w:rPr>
                <w:sz w:val="24"/>
              </w:rPr>
            </w:pPr>
            <w:r w:rsidRPr="00613263">
              <w:rPr>
                <w:sz w:val="24"/>
              </w:rPr>
              <w:t>2-WSM</w:t>
            </w:r>
          </w:p>
        </w:tc>
        <w:tc>
          <w:tcPr>
            <w:tcW w:w="2745" w:type="pct"/>
            <w:tcBorders>
              <w:top w:val="nil"/>
              <w:left w:val="single" w:sz="4" w:space="0" w:color="auto"/>
              <w:bottom w:val="nil"/>
              <w:right w:val="single" w:sz="4" w:space="0" w:color="auto"/>
            </w:tcBorders>
            <w:vAlign w:val="center"/>
          </w:tcPr>
          <w:p w14:paraId="06EEA569" w14:textId="77777777" w:rsidR="00613263" w:rsidRPr="00613263" w:rsidRDefault="00613263" w:rsidP="00613263">
            <w:pPr>
              <w:spacing w:line="360" w:lineRule="auto"/>
              <w:ind w:firstLineChars="0" w:firstLine="0"/>
              <w:jc w:val="center"/>
              <w:rPr>
                <w:sz w:val="24"/>
              </w:rPr>
            </w:pPr>
            <w:r w:rsidRPr="00613263">
              <w:rPr>
                <w:sz w:val="24"/>
              </w:rPr>
              <w:t>燃煤锅炉改造的生物质锅炉</w:t>
            </w:r>
          </w:p>
        </w:tc>
        <w:tc>
          <w:tcPr>
            <w:tcW w:w="1416" w:type="pct"/>
            <w:tcBorders>
              <w:top w:val="nil"/>
              <w:left w:val="single" w:sz="4" w:space="0" w:color="auto"/>
              <w:bottom w:val="nil"/>
              <w:right w:val="single" w:sz="4" w:space="0" w:color="auto"/>
            </w:tcBorders>
            <w:vAlign w:val="center"/>
          </w:tcPr>
          <w:p w14:paraId="0C4C6798" w14:textId="77777777" w:rsidR="00613263" w:rsidRPr="00613263" w:rsidRDefault="00613263" w:rsidP="00613263">
            <w:pPr>
              <w:spacing w:line="360" w:lineRule="auto"/>
              <w:ind w:firstLineChars="0" w:firstLine="0"/>
              <w:jc w:val="center"/>
              <w:rPr>
                <w:sz w:val="24"/>
              </w:rPr>
            </w:pPr>
            <w:r w:rsidRPr="00613263">
              <w:rPr>
                <w:sz w:val="24"/>
              </w:rPr>
              <w:t>1×10</w:t>
            </w:r>
            <w:r w:rsidRPr="00613263">
              <w:rPr>
                <w:sz w:val="24"/>
                <w:vertAlign w:val="superscript"/>
              </w:rPr>
              <w:t>-4</w:t>
            </w:r>
          </w:p>
        </w:tc>
      </w:tr>
      <w:tr w:rsidR="00613263" w:rsidRPr="00613263" w14:paraId="2F3E7A81" w14:textId="77777777" w:rsidTr="00613263">
        <w:trPr>
          <w:jc w:val="center"/>
        </w:trPr>
        <w:tc>
          <w:tcPr>
            <w:tcW w:w="839" w:type="pct"/>
            <w:tcBorders>
              <w:top w:val="nil"/>
              <w:left w:val="single" w:sz="4" w:space="0" w:color="auto"/>
              <w:bottom w:val="nil"/>
              <w:right w:val="single" w:sz="4" w:space="0" w:color="auto"/>
            </w:tcBorders>
            <w:vAlign w:val="center"/>
          </w:tcPr>
          <w:p w14:paraId="2257448C" w14:textId="77777777" w:rsidR="00613263" w:rsidRPr="00613263" w:rsidRDefault="00613263" w:rsidP="00613263">
            <w:pPr>
              <w:spacing w:line="360" w:lineRule="auto"/>
              <w:ind w:firstLineChars="0" w:firstLine="0"/>
              <w:jc w:val="center"/>
              <w:rPr>
                <w:sz w:val="24"/>
              </w:rPr>
            </w:pPr>
            <w:r w:rsidRPr="00613263">
              <w:rPr>
                <w:sz w:val="24"/>
              </w:rPr>
              <w:t>3-HX</w:t>
            </w:r>
          </w:p>
        </w:tc>
        <w:tc>
          <w:tcPr>
            <w:tcW w:w="2745" w:type="pct"/>
            <w:tcBorders>
              <w:top w:val="nil"/>
              <w:left w:val="single" w:sz="4" w:space="0" w:color="auto"/>
              <w:bottom w:val="nil"/>
              <w:right w:val="single" w:sz="4" w:space="0" w:color="auto"/>
            </w:tcBorders>
            <w:vAlign w:val="center"/>
          </w:tcPr>
          <w:p w14:paraId="08ED7991" w14:textId="77777777" w:rsidR="00613263" w:rsidRPr="00613263" w:rsidRDefault="00613263" w:rsidP="00613263">
            <w:pPr>
              <w:spacing w:line="360" w:lineRule="auto"/>
              <w:ind w:firstLineChars="0" w:firstLine="0"/>
              <w:jc w:val="center"/>
              <w:rPr>
                <w:sz w:val="24"/>
              </w:rPr>
            </w:pPr>
            <w:r w:rsidRPr="00613263">
              <w:rPr>
                <w:sz w:val="24"/>
              </w:rPr>
              <w:t>生物质成型燃料锅炉</w:t>
            </w:r>
          </w:p>
        </w:tc>
        <w:tc>
          <w:tcPr>
            <w:tcW w:w="1416" w:type="pct"/>
            <w:tcBorders>
              <w:top w:val="nil"/>
              <w:left w:val="single" w:sz="4" w:space="0" w:color="auto"/>
              <w:bottom w:val="nil"/>
              <w:right w:val="single" w:sz="4" w:space="0" w:color="auto"/>
            </w:tcBorders>
            <w:vAlign w:val="center"/>
          </w:tcPr>
          <w:p w14:paraId="195D66D3" w14:textId="77777777" w:rsidR="00613263" w:rsidRPr="00613263" w:rsidRDefault="00613263" w:rsidP="00613263">
            <w:pPr>
              <w:spacing w:line="360" w:lineRule="auto"/>
              <w:ind w:firstLineChars="0" w:firstLine="0"/>
              <w:jc w:val="center"/>
              <w:rPr>
                <w:sz w:val="24"/>
              </w:rPr>
            </w:pPr>
            <w:r w:rsidRPr="00613263">
              <w:rPr>
                <w:sz w:val="24"/>
              </w:rPr>
              <w:t>4×10</w:t>
            </w:r>
            <w:r w:rsidRPr="00613263">
              <w:rPr>
                <w:sz w:val="24"/>
                <w:vertAlign w:val="superscript"/>
              </w:rPr>
              <w:t>-4</w:t>
            </w:r>
          </w:p>
        </w:tc>
      </w:tr>
      <w:tr w:rsidR="00613263" w:rsidRPr="00613263" w14:paraId="14B63287" w14:textId="77777777" w:rsidTr="00613263">
        <w:trPr>
          <w:jc w:val="center"/>
        </w:trPr>
        <w:tc>
          <w:tcPr>
            <w:tcW w:w="839" w:type="pct"/>
            <w:tcBorders>
              <w:top w:val="nil"/>
              <w:left w:val="single" w:sz="4" w:space="0" w:color="auto"/>
              <w:bottom w:val="nil"/>
              <w:right w:val="single" w:sz="4" w:space="0" w:color="auto"/>
            </w:tcBorders>
            <w:vAlign w:val="center"/>
          </w:tcPr>
          <w:p w14:paraId="0AEE7624" w14:textId="77777777" w:rsidR="00613263" w:rsidRPr="00613263" w:rsidRDefault="00613263" w:rsidP="00613263">
            <w:pPr>
              <w:spacing w:line="360" w:lineRule="auto"/>
              <w:ind w:firstLineChars="0" w:firstLine="0"/>
              <w:jc w:val="center"/>
              <w:rPr>
                <w:sz w:val="24"/>
              </w:rPr>
            </w:pPr>
            <w:r w:rsidRPr="00613263">
              <w:rPr>
                <w:sz w:val="24"/>
              </w:rPr>
              <w:t>4-JH</w:t>
            </w:r>
          </w:p>
        </w:tc>
        <w:tc>
          <w:tcPr>
            <w:tcW w:w="2745" w:type="pct"/>
            <w:tcBorders>
              <w:top w:val="nil"/>
              <w:left w:val="single" w:sz="4" w:space="0" w:color="auto"/>
              <w:bottom w:val="nil"/>
              <w:right w:val="single" w:sz="4" w:space="0" w:color="auto"/>
            </w:tcBorders>
            <w:vAlign w:val="center"/>
          </w:tcPr>
          <w:p w14:paraId="7936FD4B" w14:textId="77777777" w:rsidR="00613263" w:rsidRPr="00613263" w:rsidRDefault="00613263" w:rsidP="00613263">
            <w:pPr>
              <w:spacing w:line="360" w:lineRule="auto"/>
              <w:ind w:firstLineChars="0" w:firstLine="0"/>
              <w:jc w:val="center"/>
              <w:rPr>
                <w:sz w:val="24"/>
              </w:rPr>
            </w:pPr>
            <w:r w:rsidRPr="00613263">
              <w:rPr>
                <w:sz w:val="24"/>
              </w:rPr>
              <w:t>燃煤锅炉改造的生物质锅炉</w:t>
            </w:r>
          </w:p>
        </w:tc>
        <w:tc>
          <w:tcPr>
            <w:tcW w:w="1416" w:type="pct"/>
            <w:tcBorders>
              <w:top w:val="nil"/>
              <w:left w:val="single" w:sz="4" w:space="0" w:color="auto"/>
              <w:bottom w:val="nil"/>
              <w:right w:val="single" w:sz="4" w:space="0" w:color="auto"/>
            </w:tcBorders>
            <w:vAlign w:val="center"/>
          </w:tcPr>
          <w:p w14:paraId="4DA02B9E" w14:textId="77777777" w:rsidR="00613263" w:rsidRPr="00613263" w:rsidRDefault="00613263" w:rsidP="00613263">
            <w:pPr>
              <w:spacing w:line="360" w:lineRule="auto"/>
              <w:ind w:firstLineChars="0" w:firstLine="0"/>
              <w:jc w:val="center"/>
              <w:rPr>
                <w:sz w:val="24"/>
              </w:rPr>
            </w:pPr>
            <w:r w:rsidRPr="00613263">
              <w:rPr>
                <w:sz w:val="24"/>
              </w:rPr>
              <w:t>37×10</w:t>
            </w:r>
            <w:r w:rsidRPr="00613263">
              <w:rPr>
                <w:sz w:val="24"/>
                <w:vertAlign w:val="superscript"/>
              </w:rPr>
              <w:t>-4</w:t>
            </w:r>
          </w:p>
        </w:tc>
      </w:tr>
      <w:tr w:rsidR="00613263" w:rsidRPr="00613263" w14:paraId="2F960A04" w14:textId="77777777" w:rsidTr="00613263">
        <w:trPr>
          <w:jc w:val="center"/>
        </w:trPr>
        <w:tc>
          <w:tcPr>
            <w:tcW w:w="839" w:type="pct"/>
            <w:tcBorders>
              <w:top w:val="nil"/>
              <w:left w:val="single" w:sz="4" w:space="0" w:color="auto"/>
              <w:bottom w:val="single" w:sz="12" w:space="0" w:color="auto"/>
              <w:right w:val="single" w:sz="4" w:space="0" w:color="auto"/>
            </w:tcBorders>
            <w:vAlign w:val="center"/>
          </w:tcPr>
          <w:p w14:paraId="2CBD2EA0" w14:textId="77777777" w:rsidR="00613263" w:rsidRPr="00613263" w:rsidRDefault="00613263" w:rsidP="00613263">
            <w:pPr>
              <w:spacing w:line="360" w:lineRule="auto"/>
              <w:ind w:firstLineChars="0" w:firstLine="0"/>
              <w:jc w:val="center"/>
              <w:rPr>
                <w:sz w:val="24"/>
              </w:rPr>
            </w:pPr>
            <w:r w:rsidRPr="00613263">
              <w:rPr>
                <w:sz w:val="24"/>
              </w:rPr>
              <w:t>5-HL1</w:t>
            </w:r>
          </w:p>
        </w:tc>
        <w:tc>
          <w:tcPr>
            <w:tcW w:w="2745" w:type="pct"/>
            <w:tcBorders>
              <w:top w:val="nil"/>
              <w:left w:val="single" w:sz="4" w:space="0" w:color="auto"/>
              <w:bottom w:val="single" w:sz="12" w:space="0" w:color="auto"/>
              <w:right w:val="single" w:sz="4" w:space="0" w:color="auto"/>
            </w:tcBorders>
            <w:vAlign w:val="center"/>
          </w:tcPr>
          <w:p w14:paraId="70B271D6" w14:textId="77777777" w:rsidR="00613263" w:rsidRPr="00613263" w:rsidRDefault="00613263" w:rsidP="00613263">
            <w:pPr>
              <w:spacing w:line="360" w:lineRule="auto"/>
              <w:ind w:firstLineChars="0" w:firstLine="0"/>
              <w:jc w:val="center"/>
              <w:rPr>
                <w:sz w:val="24"/>
              </w:rPr>
            </w:pPr>
            <w:r w:rsidRPr="00613263">
              <w:rPr>
                <w:sz w:val="24"/>
              </w:rPr>
              <w:t>燃煤锅炉改造的生物质锅炉</w:t>
            </w:r>
          </w:p>
        </w:tc>
        <w:tc>
          <w:tcPr>
            <w:tcW w:w="1416" w:type="pct"/>
            <w:tcBorders>
              <w:top w:val="nil"/>
              <w:left w:val="single" w:sz="4" w:space="0" w:color="auto"/>
              <w:bottom w:val="single" w:sz="12" w:space="0" w:color="auto"/>
              <w:right w:val="single" w:sz="4" w:space="0" w:color="auto"/>
            </w:tcBorders>
            <w:vAlign w:val="center"/>
          </w:tcPr>
          <w:p w14:paraId="08C6040D" w14:textId="77777777" w:rsidR="00613263" w:rsidRPr="00613263" w:rsidRDefault="00613263" w:rsidP="00613263">
            <w:pPr>
              <w:spacing w:line="360" w:lineRule="auto"/>
              <w:ind w:firstLineChars="0" w:firstLine="0"/>
              <w:jc w:val="center"/>
              <w:rPr>
                <w:sz w:val="24"/>
              </w:rPr>
            </w:pPr>
            <w:r w:rsidRPr="00613263">
              <w:rPr>
                <w:sz w:val="24"/>
              </w:rPr>
              <w:t>7×10</w:t>
            </w:r>
            <w:r w:rsidRPr="00613263">
              <w:rPr>
                <w:sz w:val="24"/>
                <w:vertAlign w:val="superscript"/>
              </w:rPr>
              <w:t>-4</w:t>
            </w:r>
          </w:p>
        </w:tc>
      </w:tr>
    </w:tbl>
    <w:p w14:paraId="545B3C17" w14:textId="3E3A5701" w:rsidR="005A5645" w:rsidRDefault="00084192" w:rsidP="00084192">
      <w:pPr>
        <w:pStyle w:val="affb"/>
        <w:spacing w:line="540" w:lineRule="exact"/>
        <w:ind w:firstLine="640"/>
        <w:rPr>
          <w:rFonts w:eastAsia="仿宋_GB2312" w:cs="Times New Roman" w:hint="eastAsia"/>
          <w:snapToGrid/>
          <w:color w:val="auto"/>
          <w:kern w:val="2"/>
          <w:sz w:val="32"/>
          <w:szCs w:val="24"/>
        </w:rPr>
      </w:pPr>
      <w:r>
        <w:rPr>
          <w:rFonts w:eastAsia="仿宋_GB2312" w:cs="Times New Roman"/>
          <w:snapToGrid/>
          <w:color w:val="auto"/>
          <w:kern w:val="2"/>
          <w:sz w:val="32"/>
          <w:szCs w:val="24"/>
        </w:rPr>
        <w:t>对于烟气黑度，</w:t>
      </w:r>
      <w:r>
        <w:rPr>
          <w:rFonts w:eastAsia="仿宋_GB2312" w:cs="Times New Roman"/>
          <w:snapToGrid/>
          <w:color w:val="auto"/>
          <w:kern w:val="2"/>
          <w:sz w:val="32"/>
          <w:szCs w:val="24"/>
        </w:rPr>
        <w:t>GB 13223—202X</w:t>
      </w:r>
      <w:r>
        <w:rPr>
          <w:rFonts w:eastAsia="仿宋_GB2312" w:cs="Times New Roman"/>
          <w:snapToGrid/>
          <w:color w:val="auto"/>
          <w:kern w:val="2"/>
          <w:sz w:val="32"/>
          <w:szCs w:val="24"/>
        </w:rPr>
        <w:t>和</w:t>
      </w:r>
      <w:r>
        <w:rPr>
          <w:rFonts w:eastAsia="仿宋_GB2312" w:cs="Times New Roman"/>
          <w:snapToGrid/>
          <w:color w:val="auto"/>
          <w:kern w:val="2"/>
          <w:sz w:val="32"/>
          <w:szCs w:val="24"/>
        </w:rPr>
        <w:t>GB 13271—2014</w:t>
      </w:r>
      <w:r>
        <w:rPr>
          <w:rFonts w:eastAsia="仿宋_GB2312" w:cs="Times New Roman"/>
          <w:snapToGrid/>
          <w:color w:val="auto"/>
          <w:kern w:val="2"/>
          <w:sz w:val="32"/>
          <w:szCs w:val="24"/>
        </w:rPr>
        <w:t>中规定的限值保持一致，采用格林曼黑度进行评价，因此设置烟气黑度日均</w:t>
      </w:r>
      <w:proofErr w:type="gramStart"/>
      <w:r>
        <w:rPr>
          <w:rFonts w:eastAsia="仿宋_GB2312" w:cs="Times New Roman"/>
          <w:snapToGrid/>
          <w:color w:val="auto"/>
          <w:kern w:val="2"/>
          <w:sz w:val="32"/>
          <w:szCs w:val="24"/>
        </w:rPr>
        <w:t>排放值</w:t>
      </w:r>
      <w:proofErr w:type="gramEnd"/>
      <w:r>
        <w:rPr>
          <w:rFonts w:eastAsia="仿宋_GB2312" w:cs="Times New Roman"/>
          <w:snapToGrid/>
          <w:color w:val="auto"/>
          <w:kern w:val="2"/>
          <w:sz w:val="32"/>
          <w:szCs w:val="24"/>
        </w:rPr>
        <w:t>不高于</w:t>
      </w:r>
      <w:r>
        <w:rPr>
          <w:rFonts w:eastAsia="仿宋_GB2312" w:cs="Times New Roman"/>
          <w:snapToGrid/>
          <w:color w:val="auto"/>
          <w:kern w:val="2"/>
          <w:sz w:val="32"/>
          <w:szCs w:val="24"/>
        </w:rPr>
        <w:t>1</w:t>
      </w:r>
      <w:r>
        <w:rPr>
          <w:rFonts w:eastAsia="仿宋_GB2312" w:cs="Times New Roman"/>
          <w:snapToGrid/>
          <w:color w:val="auto"/>
          <w:kern w:val="2"/>
          <w:sz w:val="32"/>
          <w:szCs w:val="24"/>
        </w:rPr>
        <w:t>级作为评价基准值，用于清洁燃烧水平评价，不再设置分级限值。</w:t>
      </w:r>
    </w:p>
    <w:p w14:paraId="001BC900" w14:textId="77777777" w:rsidR="009F4EFE" w:rsidRDefault="009F4EFE" w:rsidP="00084192">
      <w:pPr>
        <w:pStyle w:val="affb"/>
        <w:spacing w:line="540" w:lineRule="exact"/>
        <w:ind w:firstLine="640"/>
        <w:rPr>
          <w:rFonts w:eastAsia="仿宋_GB2312" w:cs="Times New Roman" w:hint="eastAsia"/>
          <w:snapToGrid/>
          <w:color w:val="auto"/>
          <w:kern w:val="2"/>
          <w:sz w:val="32"/>
          <w:szCs w:val="24"/>
        </w:rPr>
      </w:pPr>
    </w:p>
    <w:p w14:paraId="44FAC73D" w14:textId="77777777" w:rsidR="009F4EFE" w:rsidRPr="005A5645" w:rsidRDefault="009F4EFE" w:rsidP="00084192">
      <w:pPr>
        <w:pStyle w:val="affb"/>
        <w:spacing w:line="540" w:lineRule="exact"/>
        <w:ind w:firstLine="640"/>
        <w:rPr>
          <w:rFonts w:eastAsia="仿宋_GB2312" w:cs="Times New Roman"/>
          <w:snapToGrid/>
          <w:color w:val="auto"/>
          <w:kern w:val="2"/>
          <w:sz w:val="32"/>
          <w:szCs w:val="24"/>
        </w:rPr>
      </w:pPr>
    </w:p>
    <w:p w14:paraId="3D20D5E2" w14:textId="4C802AD5" w:rsidR="00445F8C" w:rsidRDefault="00084192">
      <w:pPr>
        <w:pStyle w:val="affb"/>
        <w:spacing w:line="560" w:lineRule="exact"/>
        <w:ind w:firstLine="640"/>
        <w:jc w:val="center"/>
        <w:rPr>
          <w:rFonts w:eastAsia="仿宋_GB2312" w:cs="Times New Roman"/>
          <w:snapToGrid/>
          <w:color w:val="auto"/>
          <w:kern w:val="2"/>
          <w:sz w:val="32"/>
          <w:szCs w:val="24"/>
        </w:rPr>
      </w:pPr>
      <w:r>
        <w:rPr>
          <w:rFonts w:eastAsia="仿宋_GB2312" w:cs="Times New Roman"/>
          <w:snapToGrid/>
          <w:color w:val="auto"/>
          <w:kern w:val="2"/>
          <w:sz w:val="32"/>
          <w:szCs w:val="24"/>
        </w:rPr>
        <w:lastRenderedPageBreak/>
        <w:t>表</w:t>
      </w:r>
      <w:r w:rsidR="003C6ABB">
        <w:rPr>
          <w:rFonts w:eastAsia="仿宋_GB2312" w:cs="Times New Roman" w:hint="eastAsia"/>
          <w:snapToGrid/>
          <w:color w:val="auto"/>
          <w:kern w:val="2"/>
          <w:sz w:val="32"/>
          <w:szCs w:val="24"/>
        </w:rPr>
        <w:t>10</w:t>
      </w:r>
      <w:r>
        <w:rPr>
          <w:rFonts w:eastAsia="仿宋_GB2312" w:cs="Times New Roman"/>
          <w:snapToGrid/>
          <w:color w:val="auto"/>
          <w:kern w:val="2"/>
          <w:sz w:val="32"/>
          <w:szCs w:val="24"/>
        </w:rPr>
        <w:t xml:space="preserve"> </w:t>
      </w:r>
      <w:r>
        <w:rPr>
          <w:rFonts w:eastAsia="仿宋_GB2312" w:cs="Times New Roman"/>
          <w:snapToGrid/>
          <w:color w:val="auto"/>
          <w:kern w:val="2"/>
          <w:sz w:val="32"/>
          <w:szCs w:val="24"/>
        </w:rPr>
        <w:t>生物质锅炉清洁燃烧大气污染物排放分级基准值</w:t>
      </w:r>
    </w:p>
    <w:tbl>
      <w:tblPr>
        <w:tblStyle w:val="afd"/>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6"/>
        <w:gridCol w:w="1345"/>
        <w:gridCol w:w="1345"/>
        <w:gridCol w:w="716"/>
        <w:gridCol w:w="1435"/>
        <w:gridCol w:w="65"/>
        <w:gridCol w:w="25"/>
        <w:gridCol w:w="1474"/>
        <w:gridCol w:w="52"/>
        <w:gridCol w:w="1445"/>
      </w:tblGrid>
      <w:tr w:rsidR="00445F8C" w14:paraId="6AFDC33F" w14:textId="77777777" w:rsidTr="003C6ABB">
        <w:trPr>
          <w:trHeight w:val="720"/>
          <w:jc w:val="center"/>
        </w:trPr>
        <w:tc>
          <w:tcPr>
            <w:tcW w:w="599" w:type="pct"/>
            <w:tcBorders>
              <w:top w:val="single" w:sz="8" w:space="0" w:color="auto"/>
              <w:left w:val="single" w:sz="8" w:space="0" w:color="auto"/>
              <w:bottom w:val="single" w:sz="8" w:space="0" w:color="auto"/>
              <w:right w:val="single" w:sz="4" w:space="0" w:color="auto"/>
            </w:tcBorders>
            <w:vAlign w:val="center"/>
          </w:tcPr>
          <w:p w14:paraId="2FBA0C34" w14:textId="77777777" w:rsidR="00445F8C" w:rsidRDefault="00445F8C">
            <w:pPr>
              <w:ind w:firstLineChars="0" w:firstLine="0"/>
              <w:jc w:val="center"/>
              <w:rPr>
                <w:sz w:val="21"/>
                <w:szCs w:val="21"/>
              </w:rPr>
            </w:pPr>
          </w:p>
        </w:tc>
        <w:tc>
          <w:tcPr>
            <w:tcW w:w="749" w:type="pct"/>
            <w:tcBorders>
              <w:top w:val="single" w:sz="8" w:space="0" w:color="auto"/>
              <w:left w:val="single" w:sz="4" w:space="0" w:color="auto"/>
              <w:bottom w:val="single" w:sz="4" w:space="0" w:color="auto"/>
              <w:right w:val="single" w:sz="4" w:space="0" w:color="auto"/>
            </w:tcBorders>
            <w:vAlign w:val="center"/>
          </w:tcPr>
          <w:p w14:paraId="0F72FD36" w14:textId="77777777" w:rsidR="00445F8C" w:rsidRDefault="00084192">
            <w:pPr>
              <w:ind w:firstLineChars="0" w:firstLine="0"/>
              <w:jc w:val="center"/>
              <w:rPr>
                <w:sz w:val="21"/>
                <w:szCs w:val="21"/>
              </w:rPr>
            </w:pPr>
            <w:r>
              <w:rPr>
                <w:rFonts w:ascii="Times New Roman"/>
                <w:sz w:val="21"/>
                <w:szCs w:val="21"/>
              </w:rPr>
              <w:t>污染物</w:t>
            </w:r>
          </w:p>
        </w:tc>
        <w:tc>
          <w:tcPr>
            <w:tcW w:w="749" w:type="pct"/>
            <w:tcBorders>
              <w:top w:val="single" w:sz="8" w:space="0" w:color="auto"/>
              <w:left w:val="single" w:sz="4" w:space="0" w:color="auto"/>
              <w:bottom w:val="single" w:sz="4" w:space="0" w:color="auto"/>
              <w:right w:val="single" w:sz="4" w:space="0" w:color="auto"/>
            </w:tcBorders>
            <w:vAlign w:val="center"/>
          </w:tcPr>
          <w:p w14:paraId="4968BDAF" w14:textId="77777777" w:rsidR="00445F8C" w:rsidRDefault="00084192">
            <w:pPr>
              <w:ind w:firstLineChars="0" w:firstLine="0"/>
              <w:jc w:val="center"/>
              <w:rPr>
                <w:sz w:val="21"/>
                <w:szCs w:val="21"/>
              </w:rPr>
            </w:pPr>
            <w:r>
              <w:rPr>
                <w:rFonts w:ascii="Times New Roman"/>
                <w:sz w:val="21"/>
                <w:szCs w:val="21"/>
              </w:rPr>
              <w:t>锅炉类型</w:t>
            </w:r>
          </w:p>
        </w:tc>
        <w:tc>
          <w:tcPr>
            <w:tcW w:w="399" w:type="pct"/>
            <w:tcBorders>
              <w:top w:val="single" w:sz="8" w:space="0" w:color="auto"/>
              <w:left w:val="single" w:sz="4" w:space="0" w:color="auto"/>
              <w:bottom w:val="single" w:sz="4" w:space="0" w:color="auto"/>
              <w:right w:val="single" w:sz="4" w:space="0" w:color="auto"/>
            </w:tcBorders>
            <w:vAlign w:val="center"/>
          </w:tcPr>
          <w:p w14:paraId="5241BDD6" w14:textId="77777777" w:rsidR="00445F8C" w:rsidRDefault="00084192">
            <w:pPr>
              <w:ind w:firstLineChars="0" w:firstLine="0"/>
              <w:jc w:val="center"/>
              <w:rPr>
                <w:sz w:val="21"/>
                <w:szCs w:val="21"/>
              </w:rPr>
            </w:pPr>
            <w:r>
              <w:rPr>
                <w:rFonts w:ascii="Times New Roman"/>
                <w:sz w:val="21"/>
                <w:szCs w:val="21"/>
              </w:rPr>
              <w:t>单位</w:t>
            </w:r>
          </w:p>
        </w:tc>
        <w:tc>
          <w:tcPr>
            <w:tcW w:w="849" w:type="pct"/>
            <w:gridSpan w:val="3"/>
            <w:tcBorders>
              <w:top w:val="single" w:sz="8" w:space="0" w:color="auto"/>
              <w:left w:val="single" w:sz="4" w:space="0" w:color="auto"/>
              <w:bottom w:val="single" w:sz="4" w:space="0" w:color="auto"/>
              <w:right w:val="single" w:sz="4" w:space="0" w:color="auto"/>
            </w:tcBorders>
            <w:vAlign w:val="center"/>
          </w:tcPr>
          <w:p w14:paraId="3F1C9DB9" w14:textId="77777777" w:rsidR="00445F8C" w:rsidRDefault="00084192">
            <w:pPr>
              <w:ind w:firstLineChars="0" w:firstLine="0"/>
              <w:jc w:val="center"/>
              <w:rPr>
                <w:sz w:val="21"/>
                <w:szCs w:val="21"/>
              </w:rPr>
            </w:pPr>
            <w:bookmarkStart w:id="7" w:name="OLE_LINK15"/>
            <w:r>
              <w:rPr>
                <w:rFonts w:eastAsia="宋体" w:hAnsi="宋体" w:cs="宋体" w:hint="eastAsia"/>
                <w:sz w:val="21"/>
                <w:szCs w:val="21"/>
              </w:rPr>
              <w:t>Ⅰ</w:t>
            </w:r>
            <w:r>
              <w:rPr>
                <w:rFonts w:ascii="Times New Roman"/>
                <w:sz w:val="21"/>
                <w:szCs w:val="21"/>
              </w:rPr>
              <w:t>级基准值</w:t>
            </w:r>
            <w:bookmarkEnd w:id="7"/>
          </w:p>
        </w:tc>
        <w:tc>
          <w:tcPr>
            <w:tcW w:w="850" w:type="pct"/>
            <w:gridSpan w:val="2"/>
            <w:tcBorders>
              <w:top w:val="single" w:sz="8" w:space="0" w:color="auto"/>
              <w:left w:val="single" w:sz="4" w:space="0" w:color="auto"/>
              <w:bottom w:val="single" w:sz="4" w:space="0" w:color="auto"/>
              <w:right w:val="single" w:sz="4" w:space="0" w:color="auto"/>
            </w:tcBorders>
            <w:vAlign w:val="center"/>
          </w:tcPr>
          <w:p w14:paraId="47DB9A06" w14:textId="77777777" w:rsidR="00445F8C" w:rsidRDefault="00084192">
            <w:pPr>
              <w:ind w:firstLineChars="0" w:firstLine="0"/>
              <w:jc w:val="center"/>
              <w:rPr>
                <w:sz w:val="21"/>
                <w:szCs w:val="21"/>
              </w:rPr>
            </w:pPr>
            <w:r>
              <w:rPr>
                <w:rFonts w:eastAsia="宋体" w:hAnsi="宋体" w:cs="宋体" w:hint="eastAsia"/>
                <w:sz w:val="21"/>
                <w:szCs w:val="21"/>
              </w:rPr>
              <w:t>Ⅱ</w:t>
            </w:r>
            <w:r>
              <w:rPr>
                <w:rFonts w:ascii="Times New Roman"/>
                <w:sz w:val="21"/>
                <w:szCs w:val="21"/>
              </w:rPr>
              <w:t>级基准值</w:t>
            </w:r>
          </w:p>
        </w:tc>
        <w:tc>
          <w:tcPr>
            <w:tcW w:w="805" w:type="pct"/>
            <w:tcBorders>
              <w:top w:val="single" w:sz="8" w:space="0" w:color="auto"/>
              <w:left w:val="single" w:sz="4" w:space="0" w:color="auto"/>
              <w:bottom w:val="single" w:sz="4" w:space="0" w:color="auto"/>
              <w:right w:val="single" w:sz="8" w:space="0" w:color="auto"/>
            </w:tcBorders>
            <w:vAlign w:val="center"/>
          </w:tcPr>
          <w:p w14:paraId="4EB0AD86" w14:textId="77777777" w:rsidR="00445F8C" w:rsidRDefault="00084192">
            <w:pPr>
              <w:ind w:firstLineChars="0" w:firstLine="0"/>
              <w:jc w:val="center"/>
              <w:rPr>
                <w:sz w:val="21"/>
                <w:szCs w:val="21"/>
              </w:rPr>
            </w:pPr>
            <w:r>
              <w:rPr>
                <w:rFonts w:eastAsia="宋体" w:hAnsi="宋体" w:cs="宋体" w:hint="eastAsia"/>
                <w:sz w:val="21"/>
                <w:szCs w:val="21"/>
              </w:rPr>
              <w:t>Ⅰ</w:t>
            </w:r>
            <w:r>
              <w:rPr>
                <w:rFonts w:ascii="Times New Roman"/>
                <w:sz w:val="21"/>
                <w:szCs w:val="21"/>
              </w:rPr>
              <w:t>级基准值</w:t>
            </w:r>
          </w:p>
        </w:tc>
      </w:tr>
      <w:tr w:rsidR="00445F8C" w14:paraId="3D15DE71" w14:textId="77777777" w:rsidTr="003C6ABB">
        <w:trPr>
          <w:trHeight w:val="720"/>
          <w:jc w:val="center"/>
        </w:trPr>
        <w:tc>
          <w:tcPr>
            <w:tcW w:w="599" w:type="pct"/>
            <w:vMerge w:val="restart"/>
            <w:tcBorders>
              <w:top w:val="single" w:sz="8" w:space="0" w:color="auto"/>
              <w:left w:val="single" w:sz="8" w:space="0" w:color="auto"/>
              <w:bottom w:val="single" w:sz="8" w:space="0" w:color="auto"/>
              <w:right w:val="single" w:sz="4" w:space="0" w:color="auto"/>
            </w:tcBorders>
            <w:vAlign w:val="center"/>
          </w:tcPr>
          <w:p w14:paraId="2438325D" w14:textId="77777777" w:rsidR="00445F8C" w:rsidRDefault="00084192">
            <w:pPr>
              <w:ind w:firstLineChars="0" w:firstLine="0"/>
              <w:jc w:val="center"/>
              <w:rPr>
                <w:sz w:val="21"/>
                <w:szCs w:val="21"/>
              </w:rPr>
            </w:pPr>
            <w:r>
              <w:rPr>
                <w:rFonts w:ascii="Times New Roman"/>
                <w:sz w:val="21"/>
                <w:szCs w:val="21"/>
              </w:rPr>
              <w:t>日均</w:t>
            </w:r>
            <w:proofErr w:type="gramStart"/>
            <w:r>
              <w:rPr>
                <w:rFonts w:ascii="Times New Roman"/>
                <w:sz w:val="21"/>
                <w:szCs w:val="21"/>
              </w:rPr>
              <w:t>排放值</w:t>
            </w:r>
            <w:proofErr w:type="gramEnd"/>
            <w:r>
              <w:rPr>
                <w:rFonts w:ascii="Times New Roman"/>
                <w:sz w:val="21"/>
                <w:szCs w:val="21"/>
              </w:rPr>
              <w:t>不大于</w:t>
            </w:r>
          </w:p>
        </w:tc>
        <w:tc>
          <w:tcPr>
            <w:tcW w:w="749" w:type="pct"/>
            <w:tcBorders>
              <w:top w:val="single" w:sz="8" w:space="0" w:color="auto"/>
              <w:left w:val="single" w:sz="4" w:space="0" w:color="auto"/>
              <w:bottom w:val="single" w:sz="4" w:space="0" w:color="auto"/>
              <w:right w:val="single" w:sz="4" w:space="0" w:color="auto"/>
            </w:tcBorders>
            <w:vAlign w:val="center"/>
          </w:tcPr>
          <w:p w14:paraId="1AF0D19C" w14:textId="77777777" w:rsidR="00445F8C" w:rsidRDefault="00084192">
            <w:pPr>
              <w:ind w:firstLineChars="0" w:firstLine="0"/>
              <w:jc w:val="center"/>
              <w:rPr>
                <w:sz w:val="21"/>
                <w:szCs w:val="21"/>
              </w:rPr>
            </w:pPr>
            <w:r>
              <w:rPr>
                <w:rFonts w:ascii="Times New Roman"/>
                <w:sz w:val="21"/>
                <w:szCs w:val="21"/>
              </w:rPr>
              <w:t>颗粒物</w:t>
            </w:r>
          </w:p>
        </w:tc>
        <w:tc>
          <w:tcPr>
            <w:tcW w:w="749" w:type="pct"/>
            <w:tcBorders>
              <w:top w:val="single" w:sz="8" w:space="0" w:color="auto"/>
              <w:left w:val="single" w:sz="4" w:space="0" w:color="auto"/>
              <w:bottom w:val="single" w:sz="4" w:space="0" w:color="auto"/>
              <w:right w:val="single" w:sz="4" w:space="0" w:color="auto"/>
            </w:tcBorders>
            <w:vAlign w:val="center"/>
          </w:tcPr>
          <w:p w14:paraId="23A60D83" w14:textId="77777777" w:rsidR="00445F8C" w:rsidRDefault="00084192">
            <w:pPr>
              <w:ind w:firstLineChars="0" w:firstLine="0"/>
              <w:jc w:val="center"/>
              <w:rPr>
                <w:sz w:val="21"/>
                <w:szCs w:val="21"/>
              </w:rPr>
            </w:pPr>
            <w:r>
              <w:rPr>
                <w:rFonts w:ascii="Times New Roman"/>
                <w:sz w:val="21"/>
                <w:szCs w:val="21"/>
              </w:rPr>
              <w:t>层燃锅炉</w:t>
            </w:r>
          </w:p>
          <w:p w14:paraId="34612B24" w14:textId="77777777" w:rsidR="00445F8C" w:rsidRDefault="00084192">
            <w:pPr>
              <w:ind w:firstLineChars="0" w:firstLine="0"/>
              <w:jc w:val="center"/>
              <w:rPr>
                <w:sz w:val="21"/>
                <w:szCs w:val="21"/>
              </w:rPr>
            </w:pPr>
            <w:proofErr w:type="gramStart"/>
            <w:r>
              <w:rPr>
                <w:rFonts w:ascii="Times New Roman"/>
                <w:sz w:val="21"/>
                <w:szCs w:val="21"/>
              </w:rPr>
              <w:t>室燃锅炉</w:t>
            </w:r>
            <w:proofErr w:type="gramEnd"/>
          </w:p>
          <w:p w14:paraId="0EC0C1AC" w14:textId="77777777" w:rsidR="00445F8C" w:rsidRDefault="00084192">
            <w:pPr>
              <w:ind w:firstLineChars="0" w:firstLine="0"/>
              <w:jc w:val="center"/>
              <w:rPr>
                <w:sz w:val="21"/>
                <w:szCs w:val="21"/>
              </w:rPr>
            </w:pPr>
            <w:r>
              <w:rPr>
                <w:rFonts w:ascii="Times New Roman"/>
                <w:sz w:val="21"/>
                <w:szCs w:val="21"/>
              </w:rPr>
              <w:t>流化床锅炉</w:t>
            </w:r>
          </w:p>
        </w:tc>
        <w:tc>
          <w:tcPr>
            <w:tcW w:w="399" w:type="pct"/>
            <w:tcBorders>
              <w:top w:val="single" w:sz="8" w:space="0" w:color="auto"/>
              <w:left w:val="single" w:sz="4" w:space="0" w:color="auto"/>
              <w:bottom w:val="single" w:sz="4" w:space="0" w:color="auto"/>
              <w:right w:val="single" w:sz="4" w:space="0" w:color="auto"/>
            </w:tcBorders>
            <w:vAlign w:val="center"/>
          </w:tcPr>
          <w:p w14:paraId="13D2A2CD" w14:textId="77777777" w:rsidR="00445F8C" w:rsidRDefault="00084192">
            <w:pPr>
              <w:ind w:firstLineChars="0" w:firstLine="0"/>
              <w:jc w:val="center"/>
              <w:rPr>
                <w:sz w:val="21"/>
                <w:szCs w:val="21"/>
              </w:rPr>
            </w:pPr>
            <w:r>
              <w:rPr>
                <w:rFonts w:ascii="Times New Roman"/>
                <w:sz w:val="21"/>
                <w:szCs w:val="21"/>
              </w:rPr>
              <w:t>mg/m</w:t>
            </w:r>
            <w:r>
              <w:rPr>
                <w:rFonts w:ascii="Times New Roman"/>
                <w:sz w:val="21"/>
                <w:szCs w:val="21"/>
                <w:vertAlign w:val="superscript"/>
              </w:rPr>
              <w:t>3</w:t>
            </w:r>
          </w:p>
        </w:tc>
        <w:tc>
          <w:tcPr>
            <w:tcW w:w="1699" w:type="pct"/>
            <w:gridSpan w:val="5"/>
            <w:tcBorders>
              <w:top w:val="single" w:sz="8" w:space="0" w:color="auto"/>
              <w:left w:val="single" w:sz="4" w:space="0" w:color="auto"/>
              <w:bottom w:val="single" w:sz="4" w:space="0" w:color="auto"/>
              <w:right w:val="single" w:sz="4" w:space="0" w:color="auto"/>
            </w:tcBorders>
            <w:vAlign w:val="center"/>
          </w:tcPr>
          <w:p w14:paraId="12BC589C" w14:textId="77777777" w:rsidR="00445F8C" w:rsidRDefault="00084192">
            <w:pPr>
              <w:ind w:firstLineChars="0" w:firstLine="0"/>
              <w:jc w:val="center"/>
              <w:rPr>
                <w:sz w:val="21"/>
                <w:szCs w:val="21"/>
              </w:rPr>
            </w:pPr>
            <w:r>
              <w:rPr>
                <w:rFonts w:ascii="Times New Roman"/>
                <w:sz w:val="21"/>
                <w:szCs w:val="21"/>
              </w:rPr>
              <w:t>≤10</w:t>
            </w:r>
          </w:p>
        </w:tc>
        <w:tc>
          <w:tcPr>
            <w:tcW w:w="805" w:type="pct"/>
            <w:tcBorders>
              <w:top w:val="single" w:sz="8" w:space="0" w:color="auto"/>
              <w:left w:val="single" w:sz="4" w:space="0" w:color="auto"/>
              <w:bottom w:val="single" w:sz="4" w:space="0" w:color="auto"/>
              <w:right w:val="single" w:sz="8" w:space="0" w:color="auto"/>
            </w:tcBorders>
            <w:vAlign w:val="center"/>
          </w:tcPr>
          <w:p w14:paraId="5EA00CBF" w14:textId="77777777" w:rsidR="00445F8C" w:rsidRDefault="00084192">
            <w:pPr>
              <w:ind w:firstLineChars="0" w:firstLine="0"/>
              <w:jc w:val="center"/>
              <w:rPr>
                <w:sz w:val="21"/>
                <w:szCs w:val="21"/>
              </w:rPr>
            </w:pPr>
            <w:r>
              <w:rPr>
                <w:rFonts w:ascii="Times New Roman"/>
                <w:sz w:val="21"/>
                <w:szCs w:val="21"/>
              </w:rPr>
              <w:t>≤80</w:t>
            </w:r>
          </w:p>
        </w:tc>
      </w:tr>
      <w:tr w:rsidR="00445F8C" w14:paraId="110FA6B5" w14:textId="77777777" w:rsidTr="003C6ABB">
        <w:trPr>
          <w:trHeight w:val="111"/>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0B0373D7" w14:textId="77777777" w:rsidR="00445F8C" w:rsidRDefault="00445F8C">
            <w:pPr>
              <w:ind w:firstLineChars="0" w:firstLine="0"/>
              <w:rPr>
                <w:sz w:val="21"/>
                <w:szCs w:val="21"/>
              </w:rPr>
            </w:pPr>
          </w:p>
        </w:tc>
        <w:tc>
          <w:tcPr>
            <w:tcW w:w="749" w:type="pct"/>
            <w:vMerge w:val="restart"/>
            <w:tcBorders>
              <w:top w:val="single" w:sz="4" w:space="0" w:color="auto"/>
              <w:left w:val="single" w:sz="4" w:space="0" w:color="auto"/>
              <w:bottom w:val="single" w:sz="4" w:space="0" w:color="auto"/>
              <w:right w:val="single" w:sz="4" w:space="0" w:color="auto"/>
            </w:tcBorders>
            <w:vAlign w:val="center"/>
          </w:tcPr>
          <w:p w14:paraId="1E7FA9F8" w14:textId="24585428" w:rsidR="00445F8C" w:rsidRDefault="00084192">
            <w:pPr>
              <w:ind w:firstLineChars="0" w:firstLine="0"/>
              <w:jc w:val="center"/>
              <w:rPr>
                <w:sz w:val="21"/>
                <w:szCs w:val="21"/>
              </w:rPr>
            </w:pPr>
            <w:r>
              <w:rPr>
                <w:rFonts w:ascii="Times New Roman"/>
                <w:sz w:val="21"/>
                <w:szCs w:val="21"/>
              </w:rPr>
              <w:t>氮氧化物</w:t>
            </w:r>
          </w:p>
        </w:tc>
        <w:tc>
          <w:tcPr>
            <w:tcW w:w="749" w:type="pct"/>
            <w:tcBorders>
              <w:top w:val="single" w:sz="4" w:space="0" w:color="auto"/>
              <w:left w:val="single" w:sz="4" w:space="0" w:color="auto"/>
              <w:bottom w:val="single" w:sz="4" w:space="0" w:color="auto"/>
              <w:right w:val="single" w:sz="4" w:space="0" w:color="auto"/>
            </w:tcBorders>
            <w:vAlign w:val="center"/>
          </w:tcPr>
          <w:p w14:paraId="22A83EAD" w14:textId="77777777" w:rsidR="00445F8C" w:rsidRDefault="00084192">
            <w:pPr>
              <w:ind w:firstLineChars="0" w:firstLine="0"/>
              <w:jc w:val="center"/>
              <w:rPr>
                <w:sz w:val="21"/>
                <w:szCs w:val="21"/>
              </w:rPr>
            </w:pPr>
            <w:r>
              <w:rPr>
                <w:rFonts w:ascii="Times New Roman"/>
                <w:sz w:val="21"/>
                <w:szCs w:val="21"/>
              </w:rPr>
              <w:t>层燃锅炉</w:t>
            </w:r>
          </w:p>
        </w:tc>
        <w:tc>
          <w:tcPr>
            <w:tcW w:w="399" w:type="pct"/>
            <w:vMerge w:val="restart"/>
            <w:tcBorders>
              <w:top w:val="single" w:sz="4" w:space="0" w:color="auto"/>
              <w:left w:val="single" w:sz="4" w:space="0" w:color="auto"/>
              <w:bottom w:val="single" w:sz="4" w:space="0" w:color="auto"/>
              <w:right w:val="single" w:sz="4" w:space="0" w:color="auto"/>
            </w:tcBorders>
            <w:vAlign w:val="center"/>
          </w:tcPr>
          <w:p w14:paraId="2B793370" w14:textId="77777777" w:rsidR="00445F8C" w:rsidRDefault="00084192">
            <w:pPr>
              <w:ind w:firstLineChars="0" w:firstLine="0"/>
              <w:jc w:val="center"/>
              <w:rPr>
                <w:sz w:val="21"/>
                <w:szCs w:val="21"/>
              </w:rPr>
            </w:pPr>
            <w:r>
              <w:rPr>
                <w:rFonts w:ascii="Times New Roman"/>
                <w:sz w:val="21"/>
                <w:szCs w:val="21"/>
              </w:rPr>
              <w:t>mg/m</w:t>
            </w:r>
            <w:r>
              <w:rPr>
                <w:rFonts w:ascii="Times New Roman"/>
                <w:sz w:val="21"/>
                <w:szCs w:val="21"/>
                <w:vertAlign w:val="superscript"/>
              </w:rPr>
              <w:t>3</w:t>
            </w:r>
          </w:p>
        </w:tc>
        <w:tc>
          <w:tcPr>
            <w:tcW w:w="1699" w:type="pct"/>
            <w:gridSpan w:val="5"/>
            <w:tcBorders>
              <w:top w:val="single" w:sz="4" w:space="0" w:color="auto"/>
              <w:left w:val="single" w:sz="4" w:space="0" w:color="auto"/>
              <w:bottom w:val="single" w:sz="4" w:space="0" w:color="auto"/>
              <w:right w:val="single" w:sz="4" w:space="0" w:color="auto"/>
            </w:tcBorders>
            <w:vAlign w:val="center"/>
          </w:tcPr>
          <w:p w14:paraId="63B71931" w14:textId="77777777" w:rsidR="00445F8C" w:rsidRDefault="00084192">
            <w:pPr>
              <w:ind w:firstLineChars="0" w:firstLine="0"/>
              <w:jc w:val="center"/>
              <w:rPr>
                <w:sz w:val="21"/>
                <w:szCs w:val="21"/>
              </w:rPr>
            </w:pPr>
            <w:r>
              <w:rPr>
                <w:rFonts w:ascii="Times New Roman"/>
                <w:sz w:val="21"/>
                <w:szCs w:val="21"/>
              </w:rPr>
              <w:t>≤100</w:t>
            </w:r>
          </w:p>
        </w:tc>
        <w:tc>
          <w:tcPr>
            <w:tcW w:w="805" w:type="pct"/>
            <w:tcBorders>
              <w:top w:val="single" w:sz="4" w:space="0" w:color="auto"/>
              <w:left w:val="single" w:sz="4" w:space="0" w:color="auto"/>
              <w:bottom w:val="single" w:sz="4" w:space="0" w:color="auto"/>
              <w:right w:val="single" w:sz="8" w:space="0" w:color="auto"/>
            </w:tcBorders>
            <w:vAlign w:val="center"/>
          </w:tcPr>
          <w:p w14:paraId="024E4DE9" w14:textId="77777777" w:rsidR="00445F8C" w:rsidRDefault="00084192">
            <w:pPr>
              <w:ind w:firstLineChars="0" w:firstLine="0"/>
              <w:jc w:val="center"/>
              <w:rPr>
                <w:sz w:val="21"/>
                <w:szCs w:val="21"/>
              </w:rPr>
            </w:pPr>
            <w:r>
              <w:rPr>
                <w:rFonts w:ascii="Times New Roman"/>
                <w:sz w:val="21"/>
                <w:szCs w:val="21"/>
              </w:rPr>
              <w:t>≤400</w:t>
            </w:r>
          </w:p>
        </w:tc>
      </w:tr>
      <w:tr w:rsidR="00445F8C" w14:paraId="276D0918" w14:textId="77777777" w:rsidTr="003C6ABB">
        <w:trPr>
          <w:trHeight w:val="111"/>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207B370A" w14:textId="77777777" w:rsidR="00445F8C" w:rsidRDefault="00445F8C">
            <w:pPr>
              <w:ind w:firstLineChars="0" w:firstLine="0"/>
              <w:rPr>
                <w:sz w:val="21"/>
                <w:szCs w:val="21"/>
              </w:rPr>
            </w:pPr>
          </w:p>
        </w:tc>
        <w:tc>
          <w:tcPr>
            <w:tcW w:w="749" w:type="pct"/>
            <w:vMerge/>
            <w:tcBorders>
              <w:top w:val="single" w:sz="4" w:space="0" w:color="auto"/>
              <w:left w:val="single" w:sz="4" w:space="0" w:color="auto"/>
              <w:bottom w:val="single" w:sz="4" w:space="0" w:color="auto"/>
              <w:right w:val="single" w:sz="4" w:space="0" w:color="auto"/>
            </w:tcBorders>
            <w:vAlign w:val="center"/>
          </w:tcPr>
          <w:p w14:paraId="31FB377A" w14:textId="77777777" w:rsidR="00445F8C" w:rsidRDefault="00445F8C">
            <w:pPr>
              <w:ind w:firstLineChars="0" w:firstLine="0"/>
              <w:rPr>
                <w:sz w:val="21"/>
                <w:szCs w:val="21"/>
              </w:rPr>
            </w:pPr>
          </w:p>
        </w:tc>
        <w:tc>
          <w:tcPr>
            <w:tcW w:w="749" w:type="pct"/>
            <w:tcBorders>
              <w:top w:val="single" w:sz="4" w:space="0" w:color="auto"/>
              <w:left w:val="single" w:sz="4" w:space="0" w:color="auto"/>
              <w:bottom w:val="single" w:sz="4" w:space="0" w:color="auto"/>
              <w:right w:val="single" w:sz="4" w:space="0" w:color="auto"/>
            </w:tcBorders>
            <w:vAlign w:val="center"/>
          </w:tcPr>
          <w:p w14:paraId="0D8C09AE" w14:textId="77777777" w:rsidR="00445F8C" w:rsidRDefault="00084192">
            <w:pPr>
              <w:ind w:firstLineChars="0" w:firstLine="0"/>
              <w:jc w:val="center"/>
              <w:rPr>
                <w:sz w:val="21"/>
                <w:szCs w:val="21"/>
              </w:rPr>
            </w:pPr>
            <w:proofErr w:type="gramStart"/>
            <w:r>
              <w:rPr>
                <w:rFonts w:ascii="Times New Roman"/>
                <w:sz w:val="21"/>
                <w:szCs w:val="21"/>
              </w:rPr>
              <w:t>室燃锅炉</w:t>
            </w:r>
            <w:proofErr w:type="gramEnd"/>
          </w:p>
          <w:p w14:paraId="505C2131" w14:textId="77777777" w:rsidR="00445F8C" w:rsidRDefault="00084192">
            <w:pPr>
              <w:ind w:firstLineChars="0" w:firstLine="0"/>
              <w:jc w:val="center"/>
              <w:rPr>
                <w:sz w:val="21"/>
                <w:szCs w:val="21"/>
              </w:rPr>
            </w:pPr>
            <w:r>
              <w:rPr>
                <w:rFonts w:ascii="Times New Roman"/>
                <w:sz w:val="21"/>
                <w:szCs w:val="21"/>
              </w:rPr>
              <w:t>流化床锅炉</w:t>
            </w:r>
          </w:p>
        </w:tc>
        <w:tc>
          <w:tcPr>
            <w:tcW w:w="399" w:type="pct"/>
            <w:vMerge/>
            <w:tcBorders>
              <w:top w:val="single" w:sz="4" w:space="0" w:color="auto"/>
              <w:left w:val="single" w:sz="4" w:space="0" w:color="auto"/>
              <w:bottom w:val="single" w:sz="4" w:space="0" w:color="auto"/>
              <w:right w:val="single" w:sz="4" w:space="0" w:color="auto"/>
            </w:tcBorders>
            <w:vAlign w:val="center"/>
          </w:tcPr>
          <w:p w14:paraId="79722B7D" w14:textId="77777777" w:rsidR="00445F8C" w:rsidRDefault="00445F8C">
            <w:pPr>
              <w:ind w:firstLineChars="0" w:firstLine="0"/>
              <w:rPr>
                <w:sz w:val="21"/>
                <w:szCs w:val="21"/>
              </w:rPr>
            </w:pPr>
          </w:p>
        </w:tc>
        <w:tc>
          <w:tcPr>
            <w:tcW w:w="799" w:type="pct"/>
            <w:tcBorders>
              <w:top w:val="single" w:sz="4" w:space="0" w:color="auto"/>
              <w:left w:val="single" w:sz="4" w:space="0" w:color="auto"/>
              <w:bottom w:val="single" w:sz="4" w:space="0" w:color="auto"/>
              <w:right w:val="single" w:sz="4" w:space="0" w:color="auto"/>
            </w:tcBorders>
            <w:vAlign w:val="center"/>
          </w:tcPr>
          <w:p w14:paraId="2BFB60AF" w14:textId="77777777" w:rsidR="00445F8C" w:rsidRDefault="00084192">
            <w:pPr>
              <w:ind w:firstLineChars="0" w:firstLine="0"/>
              <w:jc w:val="center"/>
              <w:rPr>
                <w:sz w:val="21"/>
                <w:szCs w:val="21"/>
              </w:rPr>
            </w:pPr>
            <w:r>
              <w:rPr>
                <w:rFonts w:ascii="Times New Roman"/>
                <w:sz w:val="21"/>
                <w:szCs w:val="21"/>
              </w:rPr>
              <w:t>≤50</w:t>
            </w:r>
          </w:p>
        </w:tc>
        <w:tc>
          <w:tcPr>
            <w:tcW w:w="900" w:type="pct"/>
            <w:gridSpan w:val="4"/>
            <w:tcBorders>
              <w:top w:val="single" w:sz="4" w:space="0" w:color="auto"/>
              <w:left w:val="single" w:sz="4" w:space="0" w:color="auto"/>
              <w:bottom w:val="single" w:sz="4" w:space="0" w:color="auto"/>
              <w:right w:val="single" w:sz="4" w:space="0" w:color="auto"/>
            </w:tcBorders>
            <w:vAlign w:val="center"/>
          </w:tcPr>
          <w:p w14:paraId="65B8E03B" w14:textId="77777777" w:rsidR="00445F8C" w:rsidRDefault="00084192">
            <w:pPr>
              <w:ind w:firstLineChars="0" w:firstLine="0"/>
              <w:jc w:val="center"/>
              <w:rPr>
                <w:sz w:val="21"/>
                <w:szCs w:val="21"/>
              </w:rPr>
            </w:pPr>
            <w:r>
              <w:rPr>
                <w:rFonts w:ascii="Times New Roman"/>
                <w:sz w:val="21"/>
                <w:szCs w:val="21"/>
              </w:rPr>
              <w:t>≤100</w:t>
            </w:r>
          </w:p>
        </w:tc>
        <w:tc>
          <w:tcPr>
            <w:tcW w:w="805" w:type="pct"/>
            <w:tcBorders>
              <w:top w:val="single" w:sz="4" w:space="0" w:color="auto"/>
              <w:left w:val="single" w:sz="4" w:space="0" w:color="auto"/>
              <w:bottom w:val="single" w:sz="4" w:space="0" w:color="auto"/>
              <w:right w:val="single" w:sz="8" w:space="0" w:color="auto"/>
            </w:tcBorders>
            <w:vAlign w:val="center"/>
          </w:tcPr>
          <w:p w14:paraId="007F1C4B" w14:textId="77777777" w:rsidR="00445F8C" w:rsidRDefault="00084192">
            <w:pPr>
              <w:ind w:firstLineChars="0" w:firstLine="0"/>
              <w:jc w:val="center"/>
              <w:rPr>
                <w:sz w:val="21"/>
                <w:szCs w:val="21"/>
              </w:rPr>
            </w:pPr>
            <w:r>
              <w:rPr>
                <w:rFonts w:ascii="Times New Roman"/>
                <w:sz w:val="21"/>
                <w:szCs w:val="21"/>
              </w:rPr>
              <w:t>≤200</w:t>
            </w:r>
          </w:p>
        </w:tc>
      </w:tr>
      <w:tr w:rsidR="00445F8C" w14:paraId="0DA9F8D1" w14:textId="77777777" w:rsidTr="003C6ABB">
        <w:trPr>
          <w:trHeight w:val="257"/>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1D0298C4" w14:textId="77777777" w:rsidR="00445F8C" w:rsidRDefault="00445F8C">
            <w:pPr>
              <w:ind w:firstLineChars="0" w:firstLine="0"/>
              <w:rPr>
                <w:sz w:val="21"/>
                <w:szCs w:val="21"/>
              </w:rPr>
            </w:pPr>
          </w:p>
        </w:tc>
        <w:tc>
          <w:tcPr>
            <w:tcW w:w="749" w:type="pct"/>
            <w:vMerge w:val="restart"/>
            <w:tcBorders>
              <w:top w:val="single" w:sz="4" w:space="0" w:color="auto"/>
              <w:left w:val="single" w:sz="4" w:space="0" w:color="auto"/>
              <w:bottom w:val="single" w:sz="4" w:space="0" w:color="auto"/>
              <w:right w:val="single" w:sz="4" w:space="0" w:color="auto"/>
            </w:tcBorders>
            <w:vAlign w:val="center"/>
          </w:tcPr>
          <w:p w14:paraId="07AB5B47" w14:textId="33321B91" w:rsidR="00445F8C" w:rsidRDefault="00084192">
            <w:pPr>
              <w:ind w:firstLineChars="0" w:firstLine="0"/>
              <w:jc w:val="center"/>
              <w:rPr>
                <w:sz w:val="21"/>
                <w:szCs w:val="21"/>
              </w:rPr>
            </w:pPr>
            <w:r>
              <w:rPr>
                <w:rFonts w:ascii="Times New Roman"/>
                <w:sz w:val="21"/>
                <w:szCs w:val="21"/>
              </w:rPr>
              <w:t>二氧化硫</w:t>
            </w:r>
          </w:p>
        </w:tc>
        <w:tc>
          <w:tcPr>
            <w:tcW w:w="749" w:type="pct"/>
            <w:tcBorders>
              <w:top w:val="single" w:sz="4" w:space="0" w:color="auto"/>
              <w:left w:val="single" w:sz="4" w:space="0" w:color="auto"/>
              <w:bottom w:val="single" w:sz="4" w:space="0" w:color="auto"/>
              <w:right w:val="single" w:sz="4" w:space="0" w:color="auto"/>
            </w:tcBorders>
            <w:vAlign w:val="center"/>
          </w:tcPr>
          <w:p w14:paraId="53D97A3C" w14:textId="77777777" w:rsidR="00445F8C" w:rsidRDefault="00084192">
            <w:pPr>
              <w:ind w:firstLineChars="0" w:firstLine="0"/>
              <w:jc w:val="center"/>
              <w:rPr>
                <w:sz w:val="21"/>
                <w:szCs w:val="21"/>
              </w:rPr>
            </w:pPr>
            <w:r>
              <w:rPr>
                <w:rFonts w:ascii="Times New Roman"/>
                <w:sz w:val="21"/>
                <w:szCs w:val="21"/>
              </w:rPr>
              <w:t>层燃锅炉</w:t>
            </w:r>
          </w:p>
        </w:tc>
        <w:tc>
          <w:tcPr>
            <w:tcW w:w="399" w:type="pct"/>
            <w:vMerge w:val="restart"/>
            <w:tcBorders>
              <w:top w:val="single" w:sz="4" w:space="0" w:color="auto"/>
              <w:left w:val="single" w:sz="4" w:space="0" w:color="auto"/>
              <w:bottom w:val="single" w:sz="4" w:space="0" w:color="auto"/>
              <w:right w:val="single" w:sz="4" w:space="0" w:color="auto"/>
            </w:tcBorders>
            <w:vAlign w:val="center"/>
          </w:tcPr>
          <w:p w14:paraId="59334446" w14:textId="77777777" w:rsidR="00445F8C" w:rsidRDefault="00084192">
            <w:pPr>
              <w:ind w:firstLineChars="0" w:firstLine="0"/>
              <w:jc w:val="center"/>
              <w:rPr>
                <w:sz w:val="21"/>
                <w:szCs w:val="21"/>
              </w:rPr>
            </w:pPr>
            <w:r>
              <w:rPr>
                <w:rFonts w:ascii="Times New Roman"/>
                <w:sz w:val="21"/>
                <w:szCs w:val="21"/>
              </w:rPr>
              <w:t>mg/m</w:t>
            </w:r>
            <w:r>
              <w:rPr>
                <w:rFonts w:ascii="Times New Roman"/>
                <w:sz w:val="21"/>
                <w:szCs w:val="21"/>
                <w:vertAlign w:val="superscript"/>
              </w:rPr>
              <w:t>3</w:t>
            </w:r>
          </w:p>
        </w:tc>
        <w:tc>
          <w:tcPr>
            <w:tcW w:w="1699" w:type="pct"/>
            <w:gridSpan w:val="5"/>
            <w:tcBorders>
              <w:top w:val="single" w:sz="4" w:space="0" w:color="auto"/>
              <w:left w:val="single" w:sz="4" w:space="0" w:color="auto"/>
              <w:bottom w:val="single" w:sz="4" w:space="0" w:color="auto"/>
              <w:right w:val="single" w:sz="4" w:space="0" w:color="auto"/>
            </w:tcBorders>
            <w:vAlign w:val="center"/>
          </w:tcPr>
          <w:p w14:paraId="1ECF05F3" w14:textId="77777777" w:rsidR="00445F8C" w:rsidRDefault="00084192">
            <w:pPr>
              <w:ind w:firstLineChars="0" w:firstLine="0"/>
              <w:jc w:val="center"/>
              <w:rPr>
                <w:sz w:val="21"/>
                <w:szCs w:val="21"/>
              </w:rPr>
            </w:pPr>
            <w:r>
              <w:rPr>
                <w:rFonts w:ascii="Times New Roman"/>
                <w:sz w:val="21"/>
                <w:szCs w:val="21"/>
              </w:rPr>
              <w:t>≤100</w:t>
            </w:r>
          </w:p>
        </w:tc>
        <w:tc>
          <w:tcPr>
            <w:tcW w:w="805" w:type="pct"/>
            <w:vMerge w:val="restart"/>
            <w:tcBorders>
              <w:top w:val="single" w:sz="4" w:space="0" w:color="auto"/>
              <w:left w:val="single" w:sz="4" w:space="0" w:color="auto"/>
              <w:bottom w:val="single" w:sz="4" w:space="0" w:color="auto"/>
              <w:right w:val="single" w:sz="8" w:space="0" w:color="auto"/>
            </w:tcBorders>
            <w:vAlign w:val="center"/>
          </w:tcPr>
          <w:p w14:paraId="072410ED" w14:textId="77777777" w:rsidR="00445F8C" w:rsidRDefault="00084192">
            <w:pPr>
              <w:ind w:firstLineChars="0" w:firstLine="0"/>
              <w:jc w:val="center"/>
              <w:rPr>
                <w:sz w:val="21"/>
                <w:szCs w:val="21"/>
              </w:rPr>
            </w:pPr>
            <w:r>
              <w:rPr>
                <w:rFonts w:ascii="Times New Roman"/>
                <w:sz w:val="21"/>
                <w:szCs w:val="21"/>
              </w:rPr>
              <w:t>≤300</w:t>
            </w:r>
          </w:p>
        </w:tc>
      </w:tr>
      <w:tr w:rsidR="00445F8C" w14:paraId="2BFBB9B4" w14:textId="77777777" w:rsidTr="003C6ABB">
        <w:trPr>
          <w:trHeight w:val="256"/>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4CBB1D8D" w14:textId="77777777" w:rsidR="00445F8C" w:rsidRDefault="00445F8C">
            <w:pPr>
              <w:ind w:firstLineChars="0" w:firstLine="0"/>
              <w:rPr>
                <w:sz w:val="21"/>
                <w:szCs w:val="21"/>
              </w:rPr>
            </w:pPr>
          </w:p>
        </w:tc>
        <w:tc>
          <w:tcPr>
            <w:tcW w:w="749" w:type="pct"/>
            <w:vMerge/>
            <w:tcBorders>
              <w:top w:val="single" w:sz="4" w:space="0" w:color="auto"/>
              <w:left w:val="single" w:sz="4" w:space="0" w:color="auto"/>
              <w:bottom w:val="single" w:sz="4" w:space="0" w:color="auto"/>
              <w:right w:val="single" w:sz="4" w:space="0" w:color="auto"/>
            </w:tcBorders>
            <w:vAlign w:val="center"/>
          </w:tcPr>
          <w:p w14:paraId="416989D5" w14:textId="77777777" w:rsidR="00445F8C" w:rsidRDefault="00445F8C">
            <w:pPr>
              <w:ind w:firstLineChars="0" w:firstLine="0"/>
              <w:rPr>
                <w:sz w:val="21"/>
                <w:szCs w:val="21"/>
              </w:rPr>
            </w:pPr>
          </w:p>
        </w:tc>
        <w:tc>
          <w:tcPr>
            <w:tcW w:w="749" w:type="pct"/>
            <w:tcBorders>
              <w:top w:val="single" w:sz="4" w:space="0" w:color="auto"/>
              <w:left w:val="single" w:sz="4" w:space="0" w:color="auto"/>
              <w:bottom w:val="single" w:sz="4" w:space="0" w:color="auto"/>
              <w:right w:val="single" w:sz="4" w:space="0" w:color="auto"/>
            </w:tcBorders>
            <w:vAlign w:val="center"/>
          </w:tcPr>
          <w:p w14:paraId="08D98188" w14:textId="77777777" w:rsidR="00445F8C" w:rsidRDefault="00084192">
            <w:pPr>
              <w:ind w:firstLineChars="0" w:firstLine="0"/>
              <w:jc w:val="center"/>
              <w:rPr>
                <w:sz w:val="21"/>
                <w:szCs w:val="21"/>
              </w:rPr>
            </w:pPr>
            <w:proofErr w:type="gramStart"/>
            <w:r>
              <w:rPr>
                <w:rFonts w:ascii="Times New Roman"/>
                <w:sz w:val="21"/>
                <w:szCs w:val="21"/>
              </w:rPr>
              <w:t>室燃锅炉</w:t>
            </w:r>
            <w:proofErr w:type="gramEnd"/>
          </w:p>
          <w:p w14:paraId="1B4AE705" w14:textId="77777777" w:rsidR="00445F8C" w:rsidRDefault="00084192">
            <w:pPr>
              <w:ind w:firstLineChars="0" w:firstLine="0"/>
              <w:jc w:val="center"/>
              <w:rPr>
                <w:sz w:val="21"/>
                <w:szCs w:val="21"/>
              </w:rPr>
            </w:pPr>
            <w:r>
              <w:rPr>
                <w:rFonts w:ascii="Times New Roman"/>
                <w:sz w:val="21"/>
                <w:szCs w:val="21"/>
              </w:rPr>
              <w:t>流化床锅炉</w:t>
            </w:r>
          </w:p>
        </w:tc>
        <w:tc>
          <w:tcPr>
            <w:tcW w:w="399" w:type="pct"/>
            <w:vMerge/>
            <w:tcBorders>
              <w:top w:val="single" w:sz="4" w:space="0" w:color="auto"/>
              <w:left w:val="single" w:sz="4" w:space="0" w:color="auto"/>
              <w:bottom w:val="single" w:sz="4" w:space="0" w:color="auto"/>
              <w:right w:val="single" w:sz="4" w:space="0" w:color="auto"/>
            </w:tcBorders>
            <w:vAlign w:val="center"/>
          </w:tcPr>
          <w:p w14:paraId="238D6F87" w14:textId="77777777" w:rsidR="00445F8C" w:rsidRDefault="00445F8C">
            <w:pPr>
              <w:ind w:firstLineChars="0" w:firstLine="0"/>
              <w:rPr>
                <w:sz w:val="21"/>
                <w:szCs w:val="21"/>
              </w:rPr>
            </w:pPr>
          </w:p>
        </w:tc>
        <w:tc>
          <w:tcPr>
            <w:tcW w:w="1699" w:type="pct"/>
            <w:gridSpan w:val="5"/>
            <w:tcBorders>
              <w:top w:val="single" w:sz="4" w:space="0" w:color="auto"/>
              <w:left w:val="single" w:sz="4" w:space="0" w:color="auto"/>
              <w:bottom w:val="single" w:sz="4" w:space="0" w:color="auto"/>
              <w:right w:val="single" w:sz="4" w:space="0" w:color="auto"/>
            </w:tcBorders>
            <w:vAlign w:val="center"/>
          </w:tcPr>
          <w:p w14:paraId="03FC572D" w14:textId="77777777" w:rsidR="00445F8C" w:rsidRDefault="00084192">
            <w:pPr>
              <w:ind w:firstLineChars="0" w:firstLine="0"/>
              <w:jc w:val="center"/>
              <w:rPr>
                <w:sz w:val="21"/>
                <w:szCs w:val="21"/>
              </w:rPr>
            </w:pPr>
            <w:r>
              <w:rPr>
                <w:rFonts w:ascii="Times New Roman"/>
                <w:sz w:val="21"/>
                <w:szCs w:val="21"/>
              </w:rPr>
              <w:t>≤35</w:t>
            </w:r>
          </w:p>
        </w:tc>
        <w:tc>
          <w:tcPr>
            <w:tcW w:w="805" w:type="pct"/>
            <w:vMerge/>
            <w:tcBorders>
              <w:top w:val="single" w:sz="4" w:space="0" w:color="auto"/>
              <w:left w:val="single" w:sz="4" w:space="0" w:color="auto"/>
              <w:bottom w:val="single" w:sz="4" w:space="0" w:color="auto"/>
              <w:right w:val="single" w:sz="8" w:space="0" w:color="auto"/>
            </w:tcBorders>
            <w:vAlign w:val="center"/>
          </w:tcPr>
          <w:p w14:paraId="02A9179E" w14:textId="77777777" w:rsidR="00445F8C" w:rsidRDefault="00445F8C">
            <w:pPr>
              <w:ind w:firstLineChars="0" w:firstLine="0"/>
              <w:rPr>
                <w:sz w:val="21"/>
                <w:szCs w:val="21"/>
              </w:rPr>
            </w:pPr>
          </w:p>
        </w:tc>
      </w:tr>
      <w:tr w:rsidR="00445F8C" w14:paraId="0E83967E" w14:textId="77777777" w:rsidTr="003C6ABB">
        <w:trPr>
          <w:trHeight w:val="822"/>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730FF5CC" w14:textId="77777777" w:rsidR="00445F8C" w:rsidRDefault="00445F8C">
            <w:pPr>
              <w:ind w:firstLineChars="0" w:firstLine="0"/>
              <w:rPr>
                <w:sz w:val="21"/>
                <w:szCs w:val="21"/>
              </w:rPr>
            </w:pPr>
          </w:p>
        </w:tc>
        <w:tc>
          <w:tcPr>
            <w:tcW w:w="749" w:type="pct"/>
            <w:tcBorders>
              <w:top w:val="single" w:sz="4" w:space="0" w:color="auto"/>
              <w:left w:val="single" w:sz="4" w:space="0" w:color="auto"/>
              <w:bottom w:val="single" w:sz="4" w:space="0" w:color="auto"/>
              <w:right w:val="single" w:sz="4" w:space="0" w:color="auto"/>
            </w:tcBorders>
            <w:vAlign w:val="center"/>
          </w:tcPr>
          <w:p w14:paraId="465587EC" w14:textId="58B43FF3" w:rsidR="00445F8C" w:rsidRDefault="00084192">
            <w:pPr>
              <w:ind w:firstLineChars="0" w:firstLine="0"/>
              <w:jc w:val="center"/>
              <w:rPr>
                <w:sz w:val="21"/>
                <w:szCs w:val="21"/>
              </w:rPr>
            </w:pPr>
            <w:r>
              <w:rPr>
                <w:rFonts w:ascii="Times New Roman"/>
                <w:sz w:val="21"/>
                <w:szCs w:val="21"/>
              </w:rPr>
              <w:t>一氧化碳</w:t>
            </w:r>
          </w:p>
        </w:tc>
        <w:tc>
          <w:tcPr>
            <w:tcW w:w="749" w:type="pct"/>
            <w:tcBorders>
              <w:top w:val="single" w:sz="4" w:space="0" w:color="auto"/>
              <w:left w:val="single" w:sz="4" w:space="0" w:color="auto"/>
              <w:bottom w:val="single" w:sz="4" w:space="0" w:color="auto"/>
              <w:right w:val="single" w:sz="4" w:space="0" w:color="auto"/>
            </w:tcBorders>
            <w:vAlign w:val="center"/>
          </w:tcPr>
          <w:p w14:paraId="5A4C4977" w14:textId="77777777" w:rsidR="00445F8C" w:rsidRDefault="00084192">
            <w:pPr>
              <w:ind w:firstLineChars="0" w:firstLine="0"/>
              <w:jc w:val="center"/>
              <w:rPr>
                <w:sz w:val="21"/>
                <w:szCs w:val="21"/>
              </w:rPr>
            </w:pPr>
            <w:r>
              <w:rPr>
                <w:rFonts w:ascii="Times New Roman"/>
                <w:sz w:val="21"/>
                <w:szCs w:val="21"/>
              </w:rPr>
              <w:t>层燃锅炉</w:t>
            </w:r>
          </w:p>
          <w:p w14:paraId="3BAB472D" w14:textId="77777777" w:rsidR="00445F8C" w:rsidRDefault="00084192">
            <w:pPr>
              <w:ind w:firstLineChars="0" w:firstLine="0"/>
              <w:jc w:val="center"/>
              <w:rPr>
                <w:sz w:val="21"/>
                <w:szCs w:val="21"/>
              </w:rPr>
            </w:pPr>
            <w:proofErr w:type="gramStart"/>
            <w:r>
              <w:rPr>
                <w:rFonts w:ascii="Times New Roman"/>
                <w:sz w:val="21"/>
                <w:szCs w:val="21"/>
              </w:rPr>
              <w:t>室燃锅炉</w:t>
            </w:r>
            <w:proofErr w:type="gramEnd"/>
          </w:p>
          <w:p w14:paraId="34D6673C" w14:textId="77777777" w:rsidR="00445F8C" w:rsidRDefault="00084192">
            <w:pPr>
              <w:ind w:firstLineChars="0" w:firstLine="0"/>
              <w:jc w:val="center"/>
              <w:rPr>
                <w:sz w:val="21"/>
                <w:szCs w:val="21"/>
              </w:rPr>
            </w:pPr>
            <w:r>
              <w:rPr>
                <w:rFonts w:ascii="Times New Roman"/>
                <w:sz w:val="21"/>
                <w:szCs w:val="21"/>
              </w:rPr>
              <w:t>流化床锅炉</w:t>
            </w:r>
          </w:p>
        </w:tc>
        <w:tc>
          <w:tcPr>
            <w:tcW w:w="399" w:type="pct"/>
            <w:tcBorders>
              <w:top w:val="single" w:sz="4" w:space="0" w:color="auto"/>
              <w:left w:val="single" w:sz="4" w:space="0" w:color="auto"/>
              <w:bottom w:val="single" w:sz="4" w:space="0" w:color="auto"/>
              <w:right w:val="single" w:sz="4" w:space="0" w:color="auto"/>
            </w:tcBorders>
            <w:vAlign w:val="center"/>
          </w:tcPr>
          <w:p w14:paraId="20433321" w14:textId="77777777" w:rsidR="00445F8C" w:rsidRDefault="00084192">
            <w:pPr>
              <w:ind w:firstLineChars="0" w:firstLine="0"/>
              <w:jc w:val="center"/>
              <w:rPr>
                <w:sz w:val="21"/>
                <w:szCs w:val="21"/>
              </w:rPr>
            </w:pPr>
            <w:r>
              <w:rPr>
                <w:rFonts w:ascii="Times New Roman"/>
                <w:sz w:val="21"/>
                <w:szCs w:val="21"/>
              </w:rPr>
              <w:t>mg/m</w:t>
            </w:r>
            <w:r>
              <w:rPr>
                <w:rFonts w:ascii="Times New Roman"/>
                <w:sz w:val="21"/>
                <w:szCs w:val="21"/>
                <w:vertAlign w:val="superscript"/>
              </w:rPr>
              <w:t>3</w:t>
            </w:r>
          </w:p>
        </w:tc>
        <w:tc>
          <w:tcPr>
            <w:tcW w:w="2504" w:type="pct"/>
            <w:gridSpan w:val="6"/>
            <w:tcBorders>
              <w:top w:val="single" w:sz="4" w:space="0" w:color="auto"/>
              <w:left w:val="single" w:sz="4" w:space="0" w:color="auto"/>
              <w:bottom w:val="single" w:sz="4" w:space="0" w:color="auto"/>
              <w:right w:val="single" w:sz="8" w:space="0" w:color="auto"/>
            </w:tcBorders>
            <w:vAlign w:val="center"/>
          </w:tcPr>
          <w:p w14:paraId="4D0D33A8" w14:textId="77777777" w:rsidR="00445F8C" w:rsidRDefault="00084192">
            <w:pPr>
              <w:ind w:firstLineChars="0" w:firstLine="0"/>
              <w:jc w:val="center"/>
              <w:rPr>
                <w:sz w:val="21"/>
                <w:szCs w:val="21"/>
              </w:rPr>
            </w:pPr>
            <w:r>
              <w:rPr>
                <w:rFonts w:ascii="Times New Roman"/>
                <w:sz w:val="21"/>
                <w:szCs w:val="21"/>
              </w:rPr>
              <w:t>≤200</w:t>
            </w:r>
          </w:p>
        </w:tc>
      </w:tr>
      <w:tr w:rsidR="003C6ABB" w14:paraId="23408C06" w14:textId="77777777" w:rsidTr="003C6ABB">
        <w:trPr>
          <w:trHeight w:val="822"/>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32C995C8" w14:textId="77777777" w:rsidR="003C6ABB" w:rsidRDefault="003C6ABB" w:rsidP="003C6ABB">
            <w:pPr>
              <w:ind w:firstLineChars="0" w:firstLine="0"/>
              <w:rPr>
                <w:sz w:val="21"/>
                <w:szCs w:val="21"/>
              </w:rPr>
            </w:pPr>
          </w:p>
        </w:tc>
        <w:tc>
          <w:tcPr>
            <w:tcW w:w="749" w:type="pct"/>
            <w:tcBorders>
              <w:top w:val="single" w:sz="4" w:space="0" w:color="auto"/>
              <w:left w:val="single" w:sz="4" w:space="0" w:color="auto"/>
              <w:bottom w:val="single" w:sz="4" w:space="0" w:color="auto"/>
              <w:right w:val="single" w:sz="4" w:space="0" w:color="auto"/>
            </w:tcBorders>
            <w:vAlign w:val="center"/>
          </w:tcPr>
          <w:p w14:paraId="7A83EEFF" w14:textId="30EC713D" w:rsidR="003C6ABB" w:rsidRDefault="003C6ABB" w:rsidP="003C6ABB">
            <w:pPr>
              <w:ind w:firstLineChars="0" w:firstLine="0"/>
              <w:jc w:val="center"/>
              <w:rPr>
                <w:sz w:val="21"/>
                <w:szCs w:val="21"/>
              </w:rPr>
            </w:pPr>
            <w:r>
              <w:rPr>
                <w:rFonts w:hint="eastAsia"/>
                <w:sz w:val="21"/>
                <w:szCs w:val="21"/>
              </w:rPr>
              <w:t>氨逃逸</w:t>
            </w:r>
          </w:p>
        </w:tc>
        <w:tc>
          <w:tcPr>
            <w:tcW w:w="749" w:type="pct"/>
            <w:tcBorders>
              <w:top w:val="single" w:sz="4" w:space="0" w:color="auto"/>
              <w:left w:val="single" w:sz="4" w:space="0" w:color="auto"/>
              <w:bottom w:val="single" w:sz="4" w:space="0" w:color="auto"/>
              <w:right w:val="single" w:sz="4" w:space="0" w:color="auto"/>
            </w:tcBorders>
            <w:vAlign w:val="center"/>
          </w:tcPr>
          <w:p w14:paraId="7ADE80B8" w14:textId="77777777" w:rsidR="003C6ABB" w:rsidRDefault="003C6ABB" w:rsidP="003C6ABB">
            <w:pPr>
              <w:ind w:firstLineChars="0" w:firstLine="0"/>
              <w:jc w:val="center"/>
              <w:rPr>
                <w:sz w:val="21"/>
                <w:szCs w:val="21"/>
              </w:rPr>
            </w:pPr>
            <w:r>
              <w:rPr>
                <w:rFonts w:ascii="Times New Roman"/>
                <w:sz w:val="21"/>
                <w:szCs w:val="21"/>
              </w:rPr>
              <w:t>层燃锅炉</w:t>
            </w:r>
          </w:p>
          <w:p w14:paraId="44FD0123" w14:textId="77777777" w:rsidR="003C6ABB" w:rsidRDefault="003C6ABB" w:rsidP="003C6ABB">
            <w:pPr>
              <w:ind w:firstLineChars="0" w:firstLine="0"/>
              <w:jc w:val="center"/>
              <w:rPr>
                <w:sz w:val="21"/>
                <w:szCs w:val="21"/>
              </w:rPr>
            </w:pPr>
            <w:proofErr w:type="gramStart"/>
            <w:r>
              <w:rPr>
                <w:rFonts w:ascii="Times New Roman"/>
                <w:sz w:val="21"/>
                <w:szCs w:val="21"/>
              </w:rPr>
              <w:t>室燃锅炉</w:t>
            </w:r>
            <w:proofErr w:type="gramEnd"/>
          </w:p>
          <w:p w14:paraId="3274A892" w14:textId="392183F1" w:rsidR="003C6ABB" w:rsidRDefault="003C6ABB" w:rsidP="003C6ABB">
            <w:pPr>
              <w:ind w:firstLineChars="0" w:firstLine="0"/>
              <w:jc w:val="center"/>
              <w:rPr>
                <w:sz w:val="21"/>
                <w:szCs w:val="21"/>
              </w:rPr>
            </w:pPr>
            <w:r>
              <w:rPr>
                <w:rFonts w:ascii="Times New Roman"/>
                <w:sz w:val="21"/>
                <w:szCs w:val="21"/>
              </w:rPr>
              <w:t>流化床锅炉</w:t>
            </w:r>
          </w:p>
        </w:tc>
        <w:tc>
          <w:tcPr>
            <w:tcW w:w="399" w:type="pct"/>
            <w:tcBorders>
              <w:top w:val="single" w:sz="4" w:space="0" w:color="auto"/>
              <w:left w:val="single" w:sz="4" w:space="0" w:color="auto"/>
              <w:bottom w:val="single" w:sz="4" w:space="0" w:color="auto"/>
              <w:right w:val="single" w:sz="4" w:space="0" w:color="auto"/>
            </w:tcBorders>
            <w:vAlign w:val="center"/>
          </w:tcPr>
          <w:p w14:paraId="4073AD4D" w14:textId="1CF19E4F" w:rsidR="003C6ABB" w:rsidRDefault="003C6ABB" w:rsidP="003C6ABB">
            <w:pPr>
              <w:ind w:firstLineChars="0" w:firstLine="0"/>
              <w:jc w:val="center"/>
              <w:rPr>
                <w:sz w:val="21"/>
                <w:szCs w:val="21"/>
              </w:rPr>
            </w:pPr>
            <w:r>
              <w:rPr>
                <w:rFonts w:ascii="Times New Roman"/>
                <w:sz w:val="21"/>
                <w:szCs w:val="21"/>
              </w:rPr>
              <w:t>mg/m</w:t>
            </w:r>
            <w:r>
              <w:rPr>
                <w:rFonts w:ascii="Times New Roman"/>
                <w:sz w:val="21"/>
                <w:szCs w:val="21"/>
                <w:vertAlign w:val="superscript"/>
              </w:rPr>
              <w:t>3</w:t>
            </w:r>
          </w:p>
        </w:tc>
        <w:tc>
          <w:tcPr>
            <w:tcW w:w="835" w:type="pct"/>
            <w:gridSpan w:val="2"/>
            <w:tcBorders>
              <w:top w:val="single" w:sz="4" w:space="0" w:color="auto"/>
              <w:left w:val="single" w:sz="4" w:space="0" w:color="auto"/>
              <w:bottom w:val="single" w:sz="4" w:space="0" w:color="auto"/>
              <w:right w:val="single" w:sz="4" w:space="0" w:color="auto"/>
            </w:tcBorders>
            <w:vAlign w:val="center"/>
          </w:tcPr>
          <w:p w14:paraId="50426435" w14:textId="65334F1B" w:rsidR="003C6ABB" w:rsidRPr="003C6ABB" w:rsidRDefault="003C6ABB" w:rsidP="003C6ABB">
            <w:pPr>
              <w:ind w:firstLineChars="0" w:firstLine="0"/>
              <w:jc w:val="center"/>
              <w:rPr>
                <w:rFonts w:ascii="Times New Roman"/>
                <w:sz w:val="24"/>
                <w:szCs w:val="15"/>
              </w:rPr>
            </w:pPr>
            <w:r w:rsidRPr="003C6ABB">
              <w:rPr>
                <w:rFonts w:ascii="Times New Roman"/>
                <w:sz w:val="24"/>
                <w:szCs w:val="15"/>
              </w:rPr>
              <w:t>≤2.5</w:t>
            </w:r>
          </w:p>
        </w:tc>
        <w:tc>
          <w:tcPr>
            <w:tcW w:w="835" w:type="pct"/>
            <w:gridSpan w:val="2"/>
            <w:tcBorders>
              <w:top w:val="single" w:sz="4" w:space="0" w:color="auto"/>
              <w:left w:val="single" w:sz="4" w:space="0" w:color="auto"/>
              <w:bottom w:val="single" w:sz="4" w:space="0" w:color="auto"/>
              <w:right w:val="single" w:sz="4" w:space="0" w:color="auto"/>
            </w:tcBorders>
            <w:vAlign w:val="center"/>
          </w:tcPr>
          <w:p w14:paraId="1E0B3460" w14:textId="7C6EA036" w:rsidR="003C6ABB" w:rsidRPr="003C6ABB" w:rsidRDefault="003C6ABB" w:rsidP="003C6ABB">
            <w:pPr>
              <w:ind w:firstLineChars="0" w:firstLine="0"/>
              <w:jc w:val="center"/>
              <w:rPr>
                <w:rFonts w:ascii="Times New Roman"/>
                <w:sz w:val="24"/>
                <w:szCs w:val="15"/>
              </w:rPr>
            </w:pPr>
            <w:r w:rsidRPr="003C6ABB">
              <w:rPr>
                <w:rFonts w:ascii="Times New Roman"/>
                <w:sz w:val="24"/>
                <w:szCs w:val="15"/>
              </w:rPr>
              <w:t>≤8</w:t>
            </w:r>
          </w:p>
        </w:tc>
        <w:tc>
          <w:tcPr>
            <w:tcW w:w="834" w:type="pct"/>
            <w:gridSpan w:val="2"/>
            <w:tcBorders>
              <w:top w:val="single" w:sz="4" w:space="0" w:color="auto"/>
              <w:left w:val="single" w:sz="4" w:space="0" w:color="auto"/>
              <w:bottom w:val="single" w:sz="4" w:space="0" w:color="auto"/>
              <w:right w:val="single" w:sz="8" w:space="0" w:color="auto"/>
            </w:tcBorders>
            <w:vAlign w:val="center"/>
          </w:tcPr>
          <w:p w14:paraId="30CC28A8" w14:textId="3B053CEA" w:rsidR="003C6ABB" w:rsidRPr="003C6ABB" w:rsidRDefault="003C6ABB" w:rsidP="003C6ABB">
            <w:pPr>
              <w:ind w:firstLineChars="0" w:firstLine="0"/>
              <w:jc w:val="center"/>
              <w:rPr>
                <w:rFonts w:ascii="Times New Roman"/>
                <w:sz w:val="24"/>
                <w:szCs w:val="15"/>
              </w:rPr>
            </w:pPr>
            <w:r w:rsidRPr="003C6ABB">
              <w:rPr>
                <w:rFonts w:ascii="Times New Roman"/>
                <w:sz w:val="24"/>
                <w:szCs w:val="15"/>
              </w:rPr>
              <w:t>≤10</w:t>
            </w:r>
          </w:p>
        </w:tc>
      </w:tr>
      <w:tr w:rsidR="00445F8C" w14:paraId="4206AA2F" w14:textId="77777777" w:rsidTr="003C6ABB">
        <w:trPr>
          <w:trHeight w:val="822"/>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693106CF" w14:textId="77777777" w:rsidR="00445F8C" w:rsidRDefault="00445F8C">
            <w:pPr>
              <w:ind w:firstLineChars="0" w:firstLine="0"/>
              <w:rPr>
                <w:sz w:val="21"/>
                <w:szCs w:val="21"/>
              </w:rPr>
            </w:pPr>
          </w:p>
        </w:tc>
        <w:tc>
          <w:tcPr>
            <w:tcW w:w="749" w:type="pct"/>
            <w:tcBorders>
              <w:top w:val="single" w:sz="4" w:space="0" w:color="auto"/>
              <w:left w:val="single" w:sz="4" w:space="0" w:color="auto"/>
              <w:bottom w:val="single" w:sz="4" w:space="0" w:color="auto"/>
              <w:right w:val="single" w:sz="4" w:space="0" w:color="auto"/>
            </w:tcBorders>
            <w:vAlign w:val="center"/>
          </w:tcPr>
          <w:p w14:paraId="18DF2565" w14:textId="77777777" w:rsidR="00445F8C" w:rsidRDefault="00084192">
            <w:pPr>
              <w:ind w:firstLineChars="0" w:firstLine="0"/>
              <w:jc w:val="center"/>
              <w:rPr>
                <w:sz w:val="21"/>
                <w:szCs w:val="21"/>
              </w:rPr>
            </w:pPr>
            <w:r>
              <w:rPr>
                <w:rFonts w:ascii="Times New Roman"/>
                <w:sz w:val="21"/>
                <w:szCs w:val="21"/>
              </w:rPr>
              <w:t>汞及其化合物</w:t>
            </w:r>
          </w:p>
        </w:tc>
        <w:tc>
          <w:tcPr>
            <w:tcW w:w="749" w:type="pct"/>
            <w:tcBorders>
              <w:top w:val="single" w:sz="4" w:space="0" w:color="auto"/>
              <w:left w:val="single" w:sz="4" w:space="0" w:color="auto"/>
              <w:bottom w:val="single" w:sz="4" w:space="0" w:color="auto"/>
              <w:right w:val="single" w:sz="4" w:space="0" w:color="auto"/>
            </w:tcBorders>
            <w:vAlign w:val="center"/>
          </w:tcPr>
          <w:p w14:paraId="43AA4046" w14:textId="77777777" w:rsidR="00445F8C" w:rsidRDefault="00084192">
            <w:pPr>
              <w:ind w:firstLineChars="0" w:firstLine="0"/>
              <w:jc w:val="center"/>
              <w:rPr>
                <w:sz w:val="21"/>
                <w:szCs w:val="21"/>
              </w:rPr>
            </w:pPr>
            <w:r>
              <w:rPr>
                <w:rFonts w:ascii="Times New Roman"/>
                <w:sz w:val="21"/>
                <w:szCs w:val="21"/>
              </w:rPr>
              <w:t>层燃锅炉</w:t>
            </w:r>
          </w:p>
          <w:p w14:paraId="75709A30" w14:textId="77777777" w:rsidR="00445F8C" w:rsidRDefault="00084192">
            <w:pPr>
              <w:ind w:firstLineChars="0" w:firstLine="0"/>
              <w:jc w:val="center"/>
              <w:rPr>
                <w:sz w:val="21"/>
                <w:szCs w:val="21"/>
              </w:rPr>
            </w:pPr>
            <w:proofErr w:type="gramStart"/>
            <w:r>
              <w:rPr>
                <w:rFonts w:ascii="Times New Roman"/>
                <w:sz w:val="21"/>
                <w:szCs w:val="21"/>
              </w:rPr>
              <w:t>室燃锅炉</w:t>
            </w:r>
            <w:proofErr w:type="gramEnd"/>
          </w:p>
          <w:p w14:paraId="7BD81EB1" w14:textId="77777777" w:rsidR="00445F8C" w:rsidRDefault="00084192">
            <w:pPr>
              <w:ind w:firstLineChars="0" w:firstLine="0"/>
              <w:jc w:val="center"/>
              <w:rPr>
                <w:sz w:val="21"/>
                <w:szCs w:val="21"/>
              </w:rPr>
            </w:pPr>
            <w:r>
              <w:rPr>
                <w:rFonts w:ascii="Times New Roman"/>
                <w:sz w:val="21"/>
                <w:szCs w:val="21"/>
              </w:rPr>
              <w:t>流化床锅炉</w:t>
            </w:r>
          </w:p>
        </w:tc>
        <w:tc>
          <w:tcPr>
            <w:tcW w:w="399" w:type="pct"/>
            <w:tcBorders>
              <w:top w:val="single" w:sz="4" w:space="0" w:color="auto"/>
              <w:left w:val="single" w:sz="4" w:space="0" w:color="auto"/>
              <w:bottom w:val="single" w:sz="4" w:space="0" w:color="auto"/>
              <w:right w:val="single" w:sz="4" w:space="0" w:color="auto"/>
            </w:tcBorders>
            <w:vAlign w:val="center"/>
          </w:tcPr>
          <w:p w14:paraId="2D1E64DD" w14:textId="77777777" w:rsidR="00445F8C" w:rsidRDefault="00084192">
            <w:pPr>
              <w:ind w:firstLineChars="0" w:firstLine="0"/>
              <w:jc w:val="center"/>
              <w:rPr>
                <w:sz w:val="21"/>
                <w:szCs w:val="21"/>
              </w:rPr>
            </w:pPr>
            <w:r>
              <w:rPr>
                <w:rFonts w:ascii="Times New Roman"/>
                <w:sz w:val="21"/>
                <w:szCs w:val="21"/>
              </w:rPr>
              <w:t>mg/m</w:t>
            </w:r>
            <w:r>
              <w:rPr>
                <w:rFonts w:ascii="Times New Roman"/>
                <w:sz w:val="21"/>
                <w:szCs w:val="21"/>
                <w:vertAlign w:val="superscript"/>
              </w:rPr>
              <w:t>3</w:t>
            </w:r>
          </w:p>
        </w:tc>
        <w:tc>
          <w:tcPr>
            <w:tcW w:w="2504" w:type="pct"/>
            <w:gridSpan w:val="6"/>
            <w:tcBorders>
              <w:top w:val="single" w:sz="4" w:space="0" w:color="auto"/>
              <w:left w:val="single" w:sz="4" w:space="0" w:color="auto"/>
              <w:bottom w:val="single" w:sz="4" w:space="0" w:color="auto"/>
              <w:right w:val="single" w:sz="8" w:space="0" w:color="auto"/>
            </w:tcBorders>
            <w:vAlign w:val="center"/>
          </w:tcPr>
          <w:p w14:paraId="02102FCE" w14:textId="77777777" w:rsidR="00445F8C" w:rsidRDefault="00084192">
            <w:pPr>
              <w:ind w:firstLineChars="0" w:firstLine="0"/>
              <w:jc w:val="center"/>
              <w:rPr>
                <w:sz w:val="21"/>
                <w:szCs w:val="21"/>
              </w:rPr>
            </w:pPr>
            <w:r>
              <w:rPr>
                <w:rFonts w:ascii="Times New Roman"/>
                <w:sz w:val="21"/>
                <w:szCs w:val="21"/>
              </w:rPr>
              <w:t>≤0.05</w:t>
            </w:r>
          </w:p>
        </w:tc>
      </w:tr>
      <w:tr w:rsidR="00445F8C" w14:paraId="5E89D7CB" w14:textId="77777777" w:rsidTr="003C6ABB">
        <w:trPr>
          <w:trHeight w:val="822"/>
          <w:jc w:val="center"/>
        </w:trPr>
        <w:tc>
          <w:tcPr>
            <w:tcW w:w="599" w:type="pct"/>
            <w:vMerge/>
            <w:tcBorders>
              <w:top w:val="single" w:sz="8" w:space="0" w:color="auto"/>
              <w:left w:val="single" w:sz="8" w:space="0" w:color="auto"/>
              <w:bottom w:val="single" w:sz="8" w:space="0" w:color="auto"/>
              <w:right w:val="single" w:sz="4" w:space="0" w:color="auto"/>
            </w:tcBorders>
            <w:vAlign w:val="center"/>
          </w:tcPr>
          <w:p w14:paraId="14BB9755" w14:textId="77777777" w:rsidR="00445F8C" w:rsidRDefault="00445F8C">
            <w:pPr>
              <w:ind w:firstLineChars="0" w:firstLine="0"/>
              <w:rPr>
                <w:sz w:val="21"/>
                <w:szCs w:val="21"/>
              </w:rPr>
            </w:pPr>
          </w:p>
        </w:tc>
        <w:tc>
          <w:tcPr>
            <w:tcW w:w="749" w:type="pct"/>
            <w:tcBorders>
              <w:top w:val="single" w:sz="4" w:space="0" w:color="auto"/>
              <w:left w:val="single" w:sz="4" w:space="0" w:color="auto"/>
              <w:bottom w:val="single" w:sz="8" w:space="0" w:color="auto"/>
              <w:right w:val="single" w:sz="4" w:space="0" w:color="auto"/>
            </w:tcBorders>
            <w:vAlign w:val="center"/>
          </w:tcPr>
          <w:p w14:paraId="7BA96294" w14:textId="77777777" w:rsidR="00445F8C" w:rsidRDefault="00084192">
            <w:pPr>
              <w:ind w:firstLineChars="0" w:firstLine="0"/>
              <w:jc w:val="center"/>
              <w:rPr>
                <w:sz w:val="21"/>
                <w:szCs w:val="21"/>
              </w:rPr>
            </w:pPr>
            <w:r>
              <w:rPr>
                <w:rFonts w:ascii="Times New Roman"/>
                <w:sz w:val="21"/>
                <w:szCs w:val="21"/>
              </w:rPr>
              <w:t>烟气黑度（格林曼黑度）</w:t>
            </w:r>
          </w:p>
        </w:tc>
        <w:tc>
          <w:tcPr>
            <w:tcW w:w="749" w:type="pct"/>
            <w:tcBorders>
              <w:top w:val="single" w:sz="4" w:space="0" w:color="auto"/>
              <w:left w:val="single" w:sz="4" w:space="0" w:color="auto"/>
              <w:bottom w:val="single" w:sz="8" w:space="0" w:color="auto"/>
              <w:right w:val="single" w:sz="4" w:space="0" w:color="auto"/>
            </w:tcBorders>
            <w:vAlign w:val="center"/>
          </w:tcPr>
          <w:p w14:paraId="2C37CBA4" w14:textId="77777777" w:rsidR="00445F8C" w:rsidRDefault="00084192">
            <w:pPr>
              <w:ind w:firstLineChars="0" w:firstLine="0"/>
              <w:jc w:val="center"/>
              <w:rPr>
                <w:sz w:val="21"/>
                <w:szCs w:val="21"/>
              </w:rPr>
            </w:pPr>
            <w:r>
              <w:rPr>
                <w:rFonts w:ascii="Times New Roman"/>
                <w:sz w:val="21"/>
                <w:szCs w:val="21"/>
              </w:rPr>
              <w:t>层燃锅炉</w:t>
            </w:r>
          </w:p>
          <w:p w14:paraId="738C206D" w14:textId="77777777" w:rsidR="00445F8C" w:rsidRDefault="00084192">
            <w:pPr>
              <w:ind w:firstLineChars="0" w:firstLine="0"/>
              <w:jc w:val="center"/>
              <w:rPr>
                <w:sz w:val="21"/>
                <w:szCs w:val="21"/>
              </w:rPr>
            </w:pPr>
            <w:proofErr w:type="gramStart"/>
            <w:r>
              <w:rPr>
                <w:rFonts w:ascii="Times New Roman"/>
                <w:sz w:val="21"/>
                <w:szCs w:val="21"/>
              </w:rPr>
              <w:t>室燃锅炉</w:t>
            </w:r>
            <w:proofErr w:type="gramEnd"/>
          </w:p>
          <w:p w14:paraId="61C4EB3C" w14:textId="77777777" w:rsidR="00445F8C" w:rsidRDefault="00084192">
            <w:pPr>
              <w:ind w:firstLineChars="0" w:firstLine="0"/>
              <w:jc w:val="center"/>
              <w:rPr>
                <w:sz w:val="21"/>
                <w:szCs w:val="21"/>
              </w:rPr>
            </w:pPr>
            <w:r>
              <w:rPr>
                <w:rFonts w:ascii="Times New Roman"/>
                <w:sz w:val="21"/>
                <w:szCs w:val="21"/>
              </w:rPr>
              <w:t>流化床锅炉</w:t>
            </w:r>
          </w:p>
        </w:tc>
        <w:tc>
          <w:tcPr>
            <w:tcW w:w="399" w:type="pct"/>
            <w:tcBorders>
              <w:top w:val="single" w:sz="4" w:space="0" w:color="auto"/>
              <w:left w:val="single" w:sz="4" w:space="0" w:color="auto"/>
              <w:bottom w:val="single" w:sz="8" w:space="0" w:color="auto"/>
              <w:right w:val="single" w:sz="4" w:space="0" w:color="auto"/>
            </w:tcBorders>
            <w:vAlign w:val="center"/>
          </w:tcPr>
          <w:p w14:paraId="5A813D87" w14:textId="77777777" w:rsidR="00445F8C" w:rsidRDefault="00084192">
            <w:pPr>
              <w:ind w:firstLineChars="0" w:firstLine="0"/>
              <w:jc w:val="center"/>
              <w:rPr>
                <w:sz w:val="21"/>
                <w:szCs w:val="21"/>
              </w:rPr>
            </w:pPr>
            <w:r>
              <w:rPr>
                <w:rFonts w:ascii="Times New Roman"/>
                <w:sz w:val="21"/>
                <w:szCs w:val="21"/>
              </w:rPr>
              <w:t>级</w:t>
            </w:r>
          </w:p>
        </w:tc>
        <w:tc>
          <w:tcPr>
            <w:tcW w:w="2504" w:type="pct"/>
            <w:gridSpan w:val="6"/>
            <w:tcBorders>
              <w:top w:val="single" w:sz="4" w:space="0" w:color="auto"/>
              <w:left w:val="single" w:sz="4" w:space="0" w:color="auto"/>
              <w:bottom w:val="single" w:sz="8" w:space="0" w:color="auto"/>
              <w:right w:val="single" w:sz="8" w:space="0" w:color="auto"/>
            </w:tcBorders>
            <w:vAlign w:val="center"/>
          </w:tcPr>
          <w:p w14:paraId="2B2250FE" w14:textId="77777777" w:rsidR="00445F8C" w:rsidRDefault="00084192">
            <w:pPr>
              <w:ind w:firstLineChars="0" w:firstLine="0"/>
              <w:jc w:val="center"/>
              <w:rPr>
                <w:sz w:val="21"/>
                <w:szCs w:val="21"/>
              </w:rPr>
            </w:pPr>
            <w:r>
              <w:rPr>
                <w:rFonts w:ascii="Times New Roman"/>
                <w:sz w:val="21"/>
                <w:szCs w:val="21"/>
              </w:rPr>
              <w:t>≤1</w:t>
            </w:r>
          </w:p>
        </w:tc>
      </w:tr>
    </w:tbl>
    <w:p w14:paraId="69287770" w14:textId="7ED11C2A" w:rsidR="00445F8C" w:rsidRDefault="00877906" w:rsidP="00084192">
      <w:pPr>
        <w:pStyle w:val="affb"/>
        <w:spacing w:line="540" w:lineRule="exact"/>
        <w:ind w:firstLine="643"/>
        <w:rPr>
          <w:rFonts w:eastAsia="仿宋_GB2312" w:cs="Times New Roman"/>
          <w:b/>
          <w:snapToGrid/>
          <w:color w:val="auto"/>
          <w:kern w:val="2"/>
          <w:sz w:val="32"/>
          <w:szCs w:val="24"/>
        </w:rPr>
      </w:pPr>
      <w:r>
        <w:rPr>
          <w:rFonts w:eastAsia="仿宋_GB2312" w:cs="Times New Roman" w:hint="eastAsia"/>
          <w:b/>
          <w:snapToGrid/>
          <w:color w:val="auto"/>
          <w:kern w:val="2"/>
          <w:sz w:val="32"/>
          <w:szCs w:val="24"/>
        </w:rPr>
        <w:t>6</w:t>
      </w:r>
      <w:r>
        <w:rPr>
          <w:rFonts w:eastAsia="仿宋_GB2312" w:cs="Times New Roman"/>
          <w:b/>
          <w:snapToGrid/>
          <w:color w:val="auto"/>
          <w:kern w:val="2"/>
          <w:sz w:val="32"/>
          <w:szCs w:val="24"/>
        </w:rPr>
        <w:t>、固体废弃物</w:t>
      </w:r>
      <w:r>
        <w:rPr>
          <w:rFonts w:eastAsia="仿宋_GB2312" w:cs="Times New Roman" w:hint="eastAsia"/>
          <w:b/>
          <w:snapToGrid/>
          <w:color w:val="auto"/>
          <w:kern w:val="2"/>
          <w:sz w:val="32"/>
          <w:szCs w:val="24"/>
        </w:rPr>
        <w:t>处置与利用</w:t>
      </w:r>
    </w:p>
    <w:p w14:paraId="507AE4B8" w14:textId="1CCCFBE8"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固体废弃物产生与处置指标用于评价生物质锅炉在运行过程中产生的固体废物的规范化管理水平、处置安全性及资源化利用程度，是清洁燃烧体系中反映环境风险控制和资源循环利用能力的重要组成部分。本标准基于生物质锅炉工程运行实际和调研结果，从固体废物处置</w:t>
      </w:r>
      <w:r w:rsidR="00877906">
        <w:rPr>
          <w:rFonts w:eastAsia="仿宋_GB2312" w:cs="Times New Roman" w:hint="eastAsia"/>
          <w:snapToGrid/>
          <w:color w:val="auto"/>
          <w:kern w:val="2"/>
          <w:sz w:val="32"/>
          <w:szCs w:val="24"/>
        </w:rPr>
        <w:t>率和</w:t>
      </w:r>
      <w:r w:rsidR="00877906">
        <w:rPr>
          <w:rFonts w:eastAsia="仿宋_GB2312" w:cs="Times New Roman"/>
          <w:snapToGrid/>
          <w:color w:val="auto"/>
          <w:kern w:val="2"/>
          <w:sz w:val="32"/>
          <w:szCs w:val="24"/>
        </w:rPr>
        <w:t>固体废物</w:t>
      </w:r>
      <w:r>
        <w:rPr>
          <w:rFonts w:eastAsia="仿宋_GB2312" w:cs="Times New Roman"/>
          <w:snapToGrid/>
          <w:color w:val="auto"/>
          <w:kern w:val="2"/>
          <w:sz w:val="32"/>
          <w:szCs w:val="24"/>
        </w:rPr>
        <w:t>资源化利用</w:t>
      </w:r>
      <w:r w:rsidR="00877906">
        <w:rPr>
          <w:rFonts w:eastAsia="仿宋_GB2312" w:cs="Times New Roman" w:hint="eastAsia"/>
          <w:snapToGrid/>
          <w:color w:val="auto"/>
          <w:kern w:val="2"/>
          <w:sz w:val="32"/>
          <w:szCs w:val="24"/>
        </w:rPr>
        <w:t>率两</w:t>
      </w:r>
      <w:r>
        <w:rPr>
          <w:rFonts w:eastAsia="仿宋_GB2312" w:cs="Times New Roman"/>
          <w:snapToGrid/>
          <w:color w:val="auto"/>
          <w:kern w:val="2"/>
          <w:sz w:val="32"/>
          <w:szCs w:val="24"/>
        </w:rPr>
        <w:t>个方面构建固体废弃物处置</w:t>
      </w:r>
      <w:r w:rsidR="00877906">
        <w:rPr>
          <w:rFonts w:eastAsia="仿宋_GB2312" w:cs="Times New Roman" w:hint="eastAsia"/>
          <w:snapToGrid/>
          <w:color w:val="auto"/>
          <w:kern w:val="2"/>
          <w:sz w:val="32"/>
          <w:szCs w:val="24"/>
        </w:rPr>
        <w:t>与利用</w:t>
      </w:r>
      <w:r>
        <w:rPr>
          <w:rFonts w:eastAsia="仿宋_GB2312" w:cs="Times New Roman"/>
          <w:snapToGrid/>
          <w:color w:val="auto"/>
          <w:kern w:val="2"/>
          <w:sz w:val="32"/>
          <w:szCs w:val="24"/>
        </w:rPr>
        <w:t>评价指标体系。</w:t>
      </w:r>
    </w:p>
    <w:p w14:paraId="786EF5BE" w14:textId="21B1802E" w:rsidR="00877906" w:rsidRDefault="00877906" w:rsidP="00084192">
      <w:pPr>
        <w:pStyle w:val="affb"/>
        <w:spacing w:line="540" w:lineRule="exact"/>
        <w:ind w:firstLine="640"/>
        <w:rPr>
          <w:rFonts w:eastAsia="仿宋_GB2312" w:cs="Times New Roman"/>
          <w:snapToGrid/>
          <w:color w:val="auto"/>
          <w:kern w:val="2"/>
          <w:sz w:val="32"/>
          <w:szCs w:val="24"/>
        </w:rPr>
      </w:pPr>
      <w:r>
        <w:rPr>
          <w:rFonts w:eastAsia="仿宋_GB2312" w:cs="Times New Roman" w:hint="eastAsia"/>
          <w:snapToGrid/>
          <w:color w:val="auto"/>
          <w:kern w:val="2"/>
          <w:sz w:val="32"/>
          <w:szCs w:val="24"/>
        </w:rPr>
        <w:t>在本标准中，</w:t>
      </w:r>
      <w:r w:rsidR="005A5645">
        <w:rPr>
          <w:rFonts w:eastAsia="仿宋_GB2312" w:cs="Times New Roman" w:hint="eastAsia"/>
          <w:snapToGrid/>
          <w:color w:val="auto"/>
          <w:kern w:val="2"/>
          <w:sz w:val="32"/>
          <w:szCs w:val="24"/>
        </w:rPr>
        <w:t>参考</w:t>
      </w:r>
      <w:r w:rsidR="005A5645" w:rsidRPr="005A5645">
        <w:rPr>
          <w:rFonts w:eastAsia="仿宋_GB2312" w:cs="Times New Roman" w:hint="eastAsia"/>
          <w:snapToGrid/>
          <w:color w:val="auto"/>
          <w:kern w:val="2"/>
          <w:sz w:val="32"/>
          <w:szCs w:val="24"/>
        </w:rPr>
        <w:t>《固体废物综合治理行动计划》</w:t>
      </w:r>
      <w:r w:rsidR="005A5645">
        <w:rPr>
          <w:rFonts w:eastAsia="仿宋_GB2312" w:cs="Times New Roman" w:hint="eastAsia"/>
          <w:snapToGrid/>
          <w:color w:val="auto"/>
          <w:kern w:val="2"/>
          <w:sz w:val="32"/>
          <w:szCs w:val="24"/>
        </w:rPr>
        <w:t>和《</w:t>
      </w:r>
      <w:r w:rsidR="005A5645" w:rsidRPr="005A5645">
        <w:rPr>
          <w:rFonts w:eastAsia="仿宋_GB2312" w:cs="Times New Roman" w:hint="eastAsia"/>
          <w:snapToGrid/>
          <w:color w:val="auto"/>
          <w:kern w:val="2"/>
          <w:sz w:val="32"/>
          <w:szCs w:val="24"/>
        </w:rPr>
        <w:t>固体废物再生利用污染防治技术导则</w:t>
      </w:r>
      <w:r w:rsidR="005A5645">
        <w:rPr>
          <w:rFonts w:eastAsia="仿宋_GB2312" w:cs="Times New Roman" w:hint="eastAsia"/>
          <w:snapToGrid/>
          <w:color w:val="auto"/>
          <w:kern w:val="2"/>
          <w:sz w:val="32"/>
          <w:szCs w:val="24"/>
        </w:rPr>
        <w:t>》（</w:t>
      </w:r>
      <w:r w:rsidR="005A5645" w:rsidRPr="005A5645">
        <w:rPr>
          <w:rFonts w:eastAsia="仿宋_GB2312" w:cs="Times New Roman"/>
          <w:snapToGrid/>
          <w:color w:val="auto"/>
          <w:kern w:val="2"/>
          <w:sz w:val="32"/>
          <w:szCs w:val="24"/>
        </w:rPr>
        <w:t>HJ1091-2020</w:t>
      </w:r>
      <w:r w:rsidR="005A5645">
        <w:rPr>
          <w:rFonts w:eastAsia="仿宋_GB2312" w:cs="Times New Roman" w:hint="eastAsia"/>
          <w:snapToGrid/>
          <w:color w:val="auto"/>
          <w:kern w:val="2"/>
          <w:sz w:val="32"/>
          <w:szCs w:val="24"/>
        </w:rPr>
        <w:t>），将</w:t>
      </w:r>
      <w:r w:rsidRPr="00877906">
        <w:rPr>
          <w:rFonts w:eastAsia="仿宋_GB2312" w:cs="Times New Roman" w:hint="eastAsia"/>
          <w:snapToGrid/>
          <w:color w:val="auto"/>
          <w:kern w:val="2"/>
          <w:sz w:val="32"/>
          <w:szCs w:val="24"/>
        </w:rPr>
        <w:t>固体废物处</w:t>
      </w:r>
      <w:r w:rsidRPr="00877906">
        <w:rPr>
          <w:rFonts w:eastAsia="仿宋_GB2312" w:cs="Times New Roman" w:hint="eastAsia"/>
          <w:snapToGrid/>
          <w:color w:val="auto"/>
          <w:kern w:val="2"/>
          <w:sz w:val="32"/>
          <w:szCs w:val="24"/>
        </w:rPr>
        <w:lastRenderedPageBreak/>
        <w:t>置率的基准值设定为</w:t>
      </w:r>
      <w:r w:rsidRPr="00877906">
        <w:rPr>
          <w:rFonts w:eastAsia="仿宋_GB2312" w:cs="Times New Roman" w:hint="eastAsia"/>
          <w:snapToGrid/>
          <w:color w:val="auto"/>
          <w:kern w:val="2"/>
          <w:sz w:val="32"/>
          <w:szCs w:val="24"/>
        </w:rPr>
        <w:t>100%</w:t>
      </w:r>
      <w:r w:rsidRPr="00877906">
        <w:rPr>
          <w:rFonts w:eastAsia="仿宋_GB2312" w:cs="Times New Roman" w:hint="eastAsia"/>
          <w:snapToGrid/>
          <w:color w:val="auto"/>
          <w:kern w:val="2"/>
          <w:sz w:val="32"/>
          <w:szCs w:val="24"/>
        </w:rPr>
        <w:t>，即要求所有产生的固体废物都能得到妥善处置，符合环保和资源回收要求。</w:t>
      </w:r>
    </w:p>
    <w:p w14:paraId="5E9921D1" w14:textId="2F842B6C" w:rsidR="005A5645" w:rsidRDefault="005A5645" w:rsidP="00084192">
      <w:pPr>
        <w:pStyle w:val="affb"/>
        <w:spacing w:line="540" w:lineRule="exact"/>
        <w:ind w:firstLine="640"/>
        <w:rPr>
          <w:rFonts w:eastAsia="仿宋_GB2312" w:cs="Times New Roman"/>
          <w:snapToGrid/>
          <w:color w:val="auto"/>
          <w:kern w:val="2"/>
          <w:sz w:val="32"/>
          <w:szCs w:val="24"/>
        </w:rPr>
      </w:pPr>
      <w:r w:rsidRPr="005A5645">
        <w:rPr>
          <w:rFonts w:eastAsia="仿宋_GB2312" w:cs="Times New Roman"/>
          <w:snapToGrid/>
          <w:color w:val="auto"/>
          <w:kern w:val="2"/>
          <w:sz w:val="32"/>
          <w:szCs w:val="24"/>
        </w:rPr>
        <w:t>对于固体废物资源化利用率的基准值按以下分级设置</w:t>
      </w:r>
      <w:r w:rsidRPr="005A5645">
        <w:rPr>
          <w:rFonts w:asciiTheme="minorEastAsia" w:eastAsiaTheme="minorEastAsia" w:hAnsiTheme="minorEastAsia" w:cs="Times New Roman"/>
          <w:snapToGrid/>
          <w:color w:val="auto"/>
          <w:kern w:val="2"/>
          <w:sz w:val="32"/>
          <w:szCs w:val="24"/>
        </w:rPr>
        <w:t>Ⅰ</w:t>
      </w:r>
      <w:r w:rsidRPr="005A5645">
        <w:rPr>
          <w:rFonts w:eastAsia="仿宋_GB2312" w:cs="Times New Roman"/>
          <w:snapToGrid/>
          <w:color w:val="auto"/>
          <w:kern w:val="2"/>
          <w:sz w:val="32"/>
          <w:szCs w:val="24"/>
        </w:rPr>
        <w:t>级：</w:t>
      </w:r>
      <w:r w:rsidRPr="005A5645">
        <w:rPr>
          <w:rFonts w:eastAsia="仿宋_GB2312" w:cs="Times New Roman"/>
          <w:snapToGrid/>
          <w:color w:val="auto"/>
          <w:kern w:val="2"/>
          <w:sz w:val="32"/>
          <w:szCs w:val="24"/>
        </w:rPr>
        <w:t>≥90%</w:t>
      </w:r>
      <w:r w:rsidRPr="005A5645">
        <w:rPr>
          <w:rFonts w:eastAsia="仿宋_GB2312" w:cs="Times New Roman"/>
          <w:snapToGrid/>
          <w:color w:val="auto"/>
          <w:kern w:val="2"/>
          <w:sz w:val="32"/>
          <w:szCs w:val="24"/>
        </w:rPr>
        <w:t>，适用于采用高效资源化利用技术，确保大部分固体废物得到有效回收和再利用。</w:t>
      </w:r>
      <w:r w:rsidRPr="005A5645">
        <w:rPr>
          <w:rFonts w:asciiTheme="minorEastAsia" w:eastAsiaTheme="minorEastAsia" w:hAnsiTheme="minorEastAsia" w:cs="Times New Roman"/>
          <w:snapToGrid/>
          <w:color w:val="auto"/>
          <w:kern w:val="2"/>
          <w:sz w:val="32"/>
          <w:szCs w:val="24"/>
        </w:rPr>
        <w:t>Ⅱ</w:t>
      </w:r>
      <w:r w:rsidRPr="005A5645">
        <w:rPr>
          <w:rFonts w:eastAsia="仿宋_GB2312" w:cs="Times New Roman"/>
          <w:snapToGrid/>
          <w:color w:val="auto"/>
          <w:kern w:val="2"/>
          <w:sz w:val="32"/>
          <w:szCs w:val="24"/>
        </w:rPr>
        <w:t>级：</w:t>
      </w:r>
      <w:r w:rsidRPr="005A5645">
        <w:rPr>
          <w:rFonts w:eastAsia="仿宋_GB2312" w:cs="Times New Roman"/>
          <w:snapToGrid/>
          <w:color w:val="auto"/>
          <w:kern w:val="2"/>
          <w:sz w:val="32"/>
          <w:szCs w:val="24"/>
        </w:rPr>
        <w:t>≥70%</w:t>
      </w:r>
      <w:r w:rsidRPr="005A5645">
        <w:rPr>
          <w:rFonts w:eastAsia="仿宋_GB2312" w:cs="Times New Roman"/>
          <w:snapToGrid/>
          <w:color w:val="auto"/>
          <w:kern w:val="2"/>
          <w:sz w:val="32"/>
          <w:szCs w:val="24"/>
        </w:rPr>
        <w:t>，适用于基本实现固体废物的资源化利用，具备一定的回收利用技术和管理措施。</w:t>
      </w:r>
      <w:r w:rsidRPr="005A5645">
        <w:rPr>
          <w:rFonts w:ascii="宋体" w:hAnsi="宋体" w:cs="Times New Roman"/>
          <w:snapToGrid/>
          <w:color w:val="auto"/>
          <w:kern w:val="2"/>
          <w:sz w:val="32"/>
          <w:szCs w:val="24"/>
        </w:rPr>
        <w:t>Ⅲ</w:t>
      </w:r>
      <w:r w:rsidRPr="005A5645">
        <w:rPr>
          <w:rFonts w:eastAsia="仿宋_GB2312" w:cs="Times New Roman"/>
          <w:snapToGrid/>
          <w:color w:val="auto"/>
          <w:kern w:val="2"/>
          <w:sz w:val="32"/>
          <w:szCs w:val="24"/>
        </w:rPr>
        <w:t>级：</w:t>
      </w:r>
      <w:r w:rsidRPr="005A5645">
        <w:rPr>
          <w:rFonts w:eastAsia="仿宋_GB2312" w:cs="Times New Roman"/>
          <w:snapToGrid/>
          <w:color w:val="auto"/>
          <w:kern w:val="2"/>
          <w:sz w:val="32"/>
          <w:szCs w:val="24"/>
        </w:rPr>
        <w:t>≥50%</w:t>
      </w:r>
      <w:r w:rsidRPr="005A5645">
        <w:rPr>
          <w:rFonts w:eastAsia="仿宋_GB2312" w:cs="Times New Roman"/>
          <w:snapToGrid/>
          <w:color w:val="auto"/>
          <w:kern w:val="2"/>
          <w:sz w:val="32"/>
          <w:szCs w:val="24"/>
        </w:rPr>
        <w:t>，适用于仍有较大提升空间的系统，通过优化现有技术和管理措施逐步提高废物资源化利用水平。</w:t>
      </w:r>
    </w:p>
    <w:p w14:paraId="3074A55F" w14:textId="6FF5618D" w:rsidR="00445F8C" w:rsidRDefault="005A5645" w:rsidP="00084192">
      <w:pPr>
        <w:pStyle w:val="affb"/>
        <w:spacing w:line="540" w:lineRule="exact"/>
        <w:ind w:firstLine="643"/>
        <w:rPr>
          <w:rFonts w:eastAsia="仿宋_GB2312" w:cs="Times New Roman"/>
          <w:b/>
          <w:snapToGrid/>
          <w:color w:val="auto"/>
          <w:kern w:val="2"/>
          <w:sz w:val="32"/>
          <w:szCs w:val="24"/>
        </w:rPr>
      </w:pPr>
      <w:r>
        <w:rPr>
          <w:rFonts w:eastAsia="仿宋_GB2312" w:cs="Times New Roman" w:hint="eastAsia"/>
          <w:b/>
          <w:snapToGrid/>
          <w:color w:val="auto"/>
          <w:kern w:val="2"/>
          <w:sz w:val="32"/>
          <w:szCs w:val="24"/>
        </w:rPr>
        <w:t>7</w:t>
      </w:r>
      <w:r>
        <w:rPr>
          <w:rFonts w:eastAsia="仿宋_GB2312" w:cs="Times New Roman"/>
          <w:b/>
          <w:snapToGrid/>
          <w:color w:val="auto"/>
          <w:kern w:val="2"/>
          <w:sz w:val="32"/>
          <w:szCs w:val="24"/>
        </w:rPr>
        <w:t>、</w:t>
      </w:r>
      <w:r w:rsidRPr="005A5645">
        <w:rPr>
          <w:rFonts w:eastAsia="仿宋_GB2312" w:cs="Times New Roman" w:hint="eastAsia"/>
          <w:b/>
          <w:snapToGrid/>
          <w:color w:val="auto"/>
          <w:kern w:val="2"/>
          <w:sz w:val="32"/>
          <w:szCs w:val="24"/>
        </w:rPr>
        <w:t>清洁燃烧管理</w:t>
      </w:r>
      <w:r>
        <w:rPr>
          <w:rFonts w:eastAsia="仿宋_GB2312" w:cs="Times New Roman"/>
          <w:b/>
          <w:snapToGrid/>
          <w:color w:val="auto"/>
          <w:kern w:val="2"/>
          <w:sz w:val="32"/>
          <w:szCs w:val="24"/>
        </w:rPr>
        <w:t>指标</w:t>
      </w:r>
    </w:p>
    <w:p w14:paraId="754DBD2C" w14:textId="0A958897"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本标准中的清洁燃烧管理作为一级指标，涵盖了产业政策符合性、环境管理、能源与低碳管理、清洁燃烧机构设置与管理制度等方面，旨在确保锅炉建设与运行符合国家及地方政策要求，并推进清洁燃烧和低碳发展的目标。</w:t>
      </w:r>
    </w:p>
    <w:p w14:paraId="63986AA4" w14:textId="401263B8"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在产业政策符合性方面，</w:t>
      </w:r>
      <w:r w:rsidRPr="005A5645">
        <w:rPr>
          <w:rFonts w:ascii="宋体" w:hAnsi="宋体" w:cs="Times New Roman"/>
          <w:bCs/>
          <w:snapToGrid/>
          <w:color w:val="auto"/>
          <w:kern w:val="2"/>
          <w:sz w:val="32"/>
          <w:szCs w:val="24"/>
        </w:rPr>
        <w:t>Ⅰ</w:t>
      </w:r>
      <w:r>
        <w:rPr>
          <w:rFonts w:ascii="宋体" w:hAnsi="宋体" w:cs="Times New Roman" w:hint="eastAsia"/>
          <w:bCs/>
          <w:snapToGrid/>
          <w:color w:val="auto"/>
          <w:kern w:val="2"/>
          <w:sz w:val="32"/>
          <w:szCs w:val="24"/>
        </w:rPr>
        <w:t>、Ⅱ、Ⅲ</w:t>
      </w:r>
      <w:r w:rsidRPr="005A5645">
        <w:rPr>
          <w:rFonts w:eastAsia="仿宋_GB2312" w:cs="Times New Roman"/>
          <w:bCs/>
          <w:snapToGrid/>
          <w:color w:val="auto"/>
          <w:kern w:val="2"/>
          <w:sz w:val="32"/>
          <w:szCs w:val="24"/>
        </w:rPr>
        <w:t>级基准值要求锅炉建设与运行符合国家及地方有关产业政策和生态环境管理要求，且不采用国家或地方明令淘汰的锅炉及配套工艺装备和污染治理设施。</w:t>
      </w:r>
    </w:p>
    <w:p w14:paraId="6EE8E30F" w14:textId="6E2298C2"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w:t>
      </w:r>
      <w:r>
        <w:rPr>
          <w:rFonts w:eastAsia="仿宋_GB2312" w:cs="Times New Roman" w:hint="eastAsia"/>
          <w:bCs/>
          <w:snapToGrid/>
          <w:color w:val="auto"/>
          <w:kern w:val="2"/>
          <w:sz w:val="32"/>
          <w:szCs w:val="24"/>
        </w:rPr>
        <w:t>管理体系</w:t>
      </w:r>
      <w:r w:rsidRPr="005A5645">
        <w:rPr>
          <w:rFonts w:eastAsia="仿宋_GB2312" w:cs="Times New Roman"/>
          <w:bCs/>
          <w:snapToGrid/>
          <w:color w:val="auto"/>
          <w:kern w:val="2"/>
          <w:sz w:val="32"/>
          <w:szCs w:val="24"/>
        </w:rPr>
        <w:t>方面，</w:t>
      </w:r>
      <w:r w:rsidRPr="005A5645">
        <w:rPr>
          <w:rFonts w:ascii="宋体" w:hAnsi="宋体" w:cs="Times New Roman"/>
          <w:bCs/>
          <w:snapToGrid/>
          <w:color w:val="auto"/>
          <w:kern w:val="2"/>
          <w:sz w:val="32"/>
          <w:szCs w:val="24"/>
        </w:rPr>
        <w:t>Ⅰ</w:t>
      </w:r>
      <w:r>
        <w:rPr>
          <w:rFonts w:ascii="宋体" w:hAnsi="宋体" w:cs="Times New Roman" w:hint="eastAsia"/>
          <w:bCs/>
          <w:snapToGrid/>
          <w:color w:val="auto"/>
          <w:kern w:val="2"/>
          <w:sz w:val="32"/>
          <w:szCs w:val="24"/>
        </w:rPr>
        <w:t>、Ⅱ</w:t>
      </w:r>
      <w:r w:rsidRPr="005A5645">
        <w:rPr>
          <w:rFonts w:eastAsia="仿宋_GB2312" w:cs="Times New Roman"/>
          <w:bCs/>
          <w:snapToGrid/>
          <w:color w:val="auto"/>
          <w:kern w:val="2"/>
          <w:sz w:val="32"/>
          <w:szCs w:val="24"/>
        </w:rPr>
        <w:t>级基准值要求按照</w:t>
      </w:r>
      <w:r w:rsidRPr="005A5645">
        <w:rPr>
          <w:rFonts w:eastAsia="仿宋_GB2312" w:cs="Times New Roman"/>
          <w:bCs/>
          <w:snapToGrid/>
          <w:color w:val="auto"/>
          <w:kern w:val="2"/>
          <w:sz w:val="32"/>
          <w:szCs w:val="24"/>
        </w:rPr>
        <w:t>GB/T 24001</w:t>
      </w:r>
      <w:r w:rsidRPr="005A5645">
        <w:rPr>
          <w:rFonts w:eastAsia="仿宋_GB2312" w:cs="Times New Roman"/>
          <w:bCs/>
          <w:snapToGrid/>
          <w:color w:val="auto"/>
          <w:kern w:val="2"/>
          <w:sz w:val="32"/>
          <w:szCs w:val="24"/>
        </w:rPr>
        <w:t>（环境管理体系要求）和</w:t>
      </w:r>
      <w:r w:rsidRPr="005A5645">
        <w:rPr>
          <w:rFonts w:eastAsia="仿宋_GB2312" w:cs="Times New Roman"/>
          <w:bCs/>
          <w:snapToGrid/>
          <w:color w:val="auto"/>
          <w:kern w:val="2"/>
          <w:sz w:val="32"/>
          <w:szCs w:val="24"/>
        </w:rPr>
        <w:t>GB/T 45001</w:t>
      </w:r>
      <w:r w:rsidRPr="005A5645">
        <w:rPr>
          <w:rFonts w:eastAsia="仿宋_GB2312" w:cs="Times New Roman"/>
          <w:bCs/>
          <w:snapToGrid/>
          <w:color w:val="auto"/>
          <w:kern w:val="2"/>
          <w:sz w:val="32"/>
          <w:szCs w:val="24"/>
        </w:rPr>
        <w:t>（职业健康安全管理体系要求）建立环境管理和职业健康安全管理体系，并获得相应认证；</w:t>
      </w:r>
      <w:r>
        <w:rPr>
          <w:rFonts w:ascii="宋体" w:hAnsi="宋体" w:cs="Times New Roman" w:hint="eastAsia"/>
          <w:bCs/>
          <w:snapToGrid/>
          <w:color w:val="auto"/>
          <w:kern w:val="2"/>
          <w:sz w:val="32"/>
          <w:szCs w:val="24"/>
        </w:rPr>
        <w:t>Ⅲ</w:t>
      </w:r>
      <w:r w:rsidRPr="005A5645">
        <w:rPr>
          <w:rFonts w:eastAsia="仿宋_GB2312" w:cs="Times New Roman"/>
          <w:bCs/>
          <w:snapToGrid/>
          <w:color w:val="auto"/>
          <w:kern w:val="2"/>
          <w:sz w:val="32"/>
          <w:szCs w:val="24"/>
        </w:rPr>
        <w:t>级基准值要求虽然按照上述标准建立体系并实施，但未获得认证。</w:t>
      </w:r>
    </w:p>
    <w:p w14:paraId="4652F771" w14:textId="17F8ECC9"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在管理平台方面，</w:t>
      </w:r>
      <w:r w:rsidRPr="005A5645">
        <w:rPr>
          <w:rFonts w:ascii="宋体" w:hAnsi="宋体" w:cs="Times New Roman"/>
          <w:bCs/>
          <w:snapToGrid/>
          <w:color w:val="auto"/>
          <w:kern w:val="2"/>
          <w:sz w:val="32"/>
          <w:szCs w:val="24"/>
        </w:rPr>
        <w:t>Ⅰ</w:t>
      </w:r>
      <w:r>
        <w:rPr>
          <w:rFonts w:ascii="宋体" w:hAnsi="宋体" w:cs="Times New Roman" w:hint="eastAsia"/>
          <w:bCs/>
          <w:snapToGrid/>
          <w:color w:val="auto"/>
          <w:kern w:val="2"/>
          <w:sz w:val="32"/>
          <w:szCs w:val="24"/>
        </w:rPr>
        <w:t>和Ⅱ</w:t>
      </w:r>
      <w:r w:rsidRPr="005A5645">
        <w:rPr>
          <w:rFonts w:eastAsia="仿宋_GB2312" w:cs="Times New Roman"/>
          <w:bCs/>
          <w:snapToGrid/>
          <w:color w:val="auto"/>
          <w:kern w:val="2"/>
          <w:sz w:val="32"/>
          <w:szCs w:val="24"/>
        </w:rPr>
        <w:t>级基准值要求建立信息化、数字化环境管理平台，以实现环境数据实时监控、分析和管理；</w:t>
      </w:r>
      <w:r>
        <w:rPr>
          <w:rFonts w:ascii="宋体" w:hAnsi="宋体" w:cs="Times New Roman" w:hint="eastAsia"/>
          <w:bCs/>
          <w:snapToGrid/>
          <w:color w:val="auto"/>
          <w:kern w:val="2"/>
          <w:sz w:val="32"/>
          <w:szCs w:val="24"/>
        </w:rPr>
        <w:t>Ⅲ</w:t>
      </w:r>
      <w:r w:rsidRPr="005A5645">
        <w:rPr>
          <w:rFonts w:eastAsia="仿宋_GB2312" w:cs="Times New Roman"/>
          <w:bCs/>
          <w:snapToGrid/>
          <w:color w:val="auto"/>
          <w:kern w:val="2"/>
          <w:sz w:val="32"/>
          <w:szCs w:val="24"/>
        </w:rPr>
        <w:t>级基准值则要求未建立信息化管理平台，仅限于基础的环境管理手段。</w:t>
      </w:r>
    </w:p>
    <w:p w14:paraId="5E340F06" w14:textId="24F164B8"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lastRenderedPageBreak/>
        <w:t>在风险管理方面，</w:t>
      </w:r>
      <w:r w:rsidRPr="005A5645">
        <w:rPr>
          <w:rFonts w:ascii="宋体" w:hAnsi="宋体" w:cs="Times New Roman"/>
          <w:bCs/>
          <w:snapToGrid/>
          <w:color w:val="auto"/>
          <w:kern w:val="2"/>
          <w:sz w:val="32"/>
          <w:szCs w:val="24"/>
        </w:rPr>
        <w:t>Ⅰ</w:t>
      </w:r>
      <w:r>
        <w:rPr>
          <w:rFonts w:ascii="宋体" w:hAnsi="宋体" w:cs="Times New Roman" w:hint="eastAsia"/>
          <w:bCs/>
          <w:snapToGrid/>
          <w:color w:val="auto"/>
          <w:kern w:val="2"/>
          <w:sz w:val="32"/>
          <w:szCs w:val="24"/>
        </w:rPr>
        <w:t>、Ⅱ和Ⅲ</w:t>
      </w:r>
      <w:r w:rsidRPr="005A5645">
        <w:rPr>
          <w:rFonts w:eastAsia="仿宋_GB2312" w:cs="Times New Roman"/>
          <w:bCs/>
          <w:snapToGrid/>
          <w:color w:val="auto"/>
          <w:kern w:val="2"/>
          <w:sz w:val="32"/>
          <w:szCs w:val="24"/>
        </w:rPr>
        <w:t>级基准值要求制定突发性环境事件应急预案，并配备齐备的应急设施</w:t>
      </w:r>
      <w:r>
        <w:rPr>
          <w:rFonts w:eastAsia="仿宋_GB2312" w:cs="Times New Roman" w:hint="eastAsia"/>
          <w:bCs/>
          <w:snapToGrid/>
          <w:color w:val="auto"/>
          <w:kern w:val="2"/>
          <w:sz w:val="32"/>
          <w:szCs w:val="24"/>
        </w:rPr>
        <w:t>和</w:t>
      </w:r>
      <w:r w:rsidRPr="005A5645">
        <w:rPr>
          <w:rFonts w:eastAsia="仿宋_GB2312" w:cs="Times New Roman"/>
          <w:bCs/>
          <w:snapToGrid/>
          <w:color w:val="auto"/>
          <w:kern w:val="2"/>
          <w:sz w:val="32"/>
          <w:szCs w:val="24"/>
        </w:rPr>
        <w:t>物资，并定期检修，且有完整记录同时要求定期排查安全隐患并有记录，并开展每年定期培训和演练。</w:t>
      </w:r>
    </w:p>
    <w:p w14:paraId="3EF86C9E" w14:textId="659CA942"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在能源与低碳管理方面，</w:t>
      </w:r>
      <w:r w:rsidRPr="005A5645">
        <w:rPr>
          <w:rFonts w:ascii="宋体" w:hAnsi="宋体" w:cs="Times New Roman"/>
          <w:bCs/>
          <w:snapToGrid/>
          <w:color w:val="auto"/>
          <w:kern w:val="2"/>
          <w:sz w:val="32"/>
          <w:szCs w:val="24"/>
        </w:rPr>
        <w:t>Ⅰ</w:t>
      </w:r>
      <w:r w:rsidRPr="005A5645">
        <w:rPr>
          <w:rFonts w:eastAsia="仿宋_GB2312" w:cs="Times New Roman"/>
          <w:bCs/>
          <w:snapToGrid/>
          <w:color w:val="auto"/>
          <w:kern w:val="2"/>
          <w:sz w:val="32"/>
          <w:szCs w:val="24"/>
        </w:rPr>
        <w:t>级基准值要求按照</w:t>
      </w:r>
      <w:r w:rsidRPr="005A5645">
        <w:rPr>
          <w:rFonts w:eastAsia="仿宋_GB2312" w:cs="Times New Roman"/>
          <w:bCs/>
          <w:snapToGrid/>
          <w:color w:val="auto"/>
          <w:kern w:val="2"/>
          <w:sz w:val="32"/>
          <w:szCs w:val="24"/>
        </w:rPr>
        <w:t>GB/T 23331</w:t>
      </w:r>
      <w:r w:rsidRPr="005A5645">
        <w:rPr>
          <w:rFonts w:eastAsia="仿宋_GB2312" w:cs="Times New Roman"/>
          <w:bCs/>
          <w:snapToGrid/>
          <w:color w:val="auto"/>
          <w:kern w:val="2"/>
          <w:sz w:val="32"/>
          <w:szCs w:val="24"/>
        </w:rPr>
        <w:t>建立能源管理体系，并取得认证；</w:t>
      </w:r>
      <w:r>
        <w:rPr>
          <w:rFonts w:ascii="宋体" w:hAnsi="宋体" w:cs="Times New Roman" w:hint="eastAsia"/>
          <w:bCs/>
          <w:snapToGrid/>
          <w:color w:val="auto"/>
          <w:kern w:val="2"/>
          <w:sz w:val="32"/>
          <w:szCs w:val="24"/>
        </w:rPr>
        <w:t>Ⅱ</w:t>
      </w:r>
      <w:r w:rsidRPr="005A5645">
        <w:rPr>
          <w:rFonts w:eastAsia="仿宋_GB2312" w:cs="Times New Roman"/>
          <w:bCs/>
          <w:snapToGrid/>
          <w:color w:val="auto"/>
          <w:kern w:val="2"/>
          <w:sz w:val="32"/>
          <w:szCs w:val="24"/>
        </w:rPr>
        <w:t>级基准值要求建立能源管理体系，但未获得认证。</w:t>
      </w:r>
    </w:p>
    <w:p w14:paraId="3F2AFE41" w14:textId="37589E61"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在管理平台方面，</w:t>
      </w:r>
      <w:r w:rsidRPr="005A5645">
        <w:rPr>
          <w:rFonts w:ascii="宋体" w:hAnsi="宋体" w:cs="Times New Roman"/>
          <w:bCs/>
          <w:snapToGrid/>
          <w:color w:val="auto"/>
          <w:kern w:val="2"/>
          <w:sz w:val="32"/>
          <w:szCs w:val="24"/>
        </w:rPr>
        <w:t>Ⅰ</w:t>
      </w:r>
      <w:r>
        <w:rPr>
          <w:rFonts w:eastAsia="仿宋_GB2312" w:cs="Times New Roman" w:hint="eastAsia"/>
          <w:bCs/>
          <w:snapToGrid/>
          <w:color w:val="auto"/>
          <w:kern w:val="2"/>
          <w:sz w:val="32"/>
          <w:szCs w:val="24"/>
        </w:rPr>
        <w:t>、Ⅱ</w:t>
      </w:r>
      <w:r w:rsidRPr="005A5645">
        <w:rPr>
          <w:rFonts w:eastAsia="仿宋_GB2312" w:cs="Times New Roman"/>
          <w:bCs/>
          <w:snapToGrid/>
          <w:color w:val="auto"/>
          <w:kern w:val="2"/>
          <w:sz w:val="32"/>
          <w:szCs w:val="24"/>
        </w:rPr>
        <w:t>级基准值要求建立并运行信息化能源管理平台，实时监控能源使用情况，并进行数据分析和优化；</w:t>
      </w:r>
      <w:r w:rsidR="005A6D7F">
        <w:rPr>
          <w:rFonts w:eastAsia="仿宋_GB2312" w:cs="Times New Roman" w:hint="eastAsia"/>
          <w:bCs/>
          <w:snapToGrid/>
          <w:color w:val="auto"/>
          <w:kern w:val="2"/>
          <w:sz w:val="32"/>
          <w:szCs w:val="24"/>
        </w:rPr>
        <w:t>Ⅲ</w:t>
      </w:r>
      <w:r w:rsidRPr="005A5645">
        <w:rPr>
          <w:rFonts w:eastAsia="仿宋_GB2312" w:cs="Times New Roman"/>
          <w:bCs/>
          <w:snapToGrid/>
          <w:color w:val="auto"/>
          <w:kern w:val="2"/>
          <w:sz w:val="32"/>
          <w:szCs w:val="24"/>
        </w:rPr>
        <w:t>级基准值要求建立并实施能源计量管理制度，但未建立信息化平台。</w:t>
      </w:r>
    </w:p>
    <w:p w14:paraId="2A2D53C6" w14:textId="3FCDC07D"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在计量器具方面，</w:t>
      </w:r>
      <w:r w:rsidRPr="005A6D7F">
        <w:rPr>
          <w:rFonts w:ascii="宋体" w:hAnsi="宋体" w:cs="Times New Roman"/>
          <w:bCs/>
          <w:snapToGrid/>
          <w:color w:val="auto"/>
          <w:kern w:val="2"/>
          <w:sz w:val="32"/>
          <w:szCs w:val="24"/>
        </w:rPr>
        <w:t>Ⅰ</w:t>
      </w:r>
      <w:r w:rsidR="005A6D7F">
        <w:rPr>
          <w:rFonts w:eastAsia="仿宋_GB2312" w:cs="Times New Roman" w:hint="eastAsia"/>
          <w:bCs/>
          <w:snapToGrid/>
          <w:color w:val="auto"/>
          <w:kern w:val="2"/>
          <w:sz w:val="32"/>
          <w:szCs w:val="24"/>
        </w:rPr>
        <w:t>、Ⅱ、Ⅲ</w:t>
      </w:r>
      <w:r w:rsidRPr="005A5645">
        <w:rPr>
          <w:rFonts w:eastAsia="仿宋_GB2312" w:cs="Times New Roman"/>
          <w:bCs/>
          <w:snapToGrid/>
          <w:color w:val="auto"/>
          <w:kern w:val="2"/>
          <w:sz w:val="32"/>
          <w:szCs w:val="24"/>
        </w:rPr>
        <w:t>级基准值要求能源计量器具配备符合</w:t>
      </w:r>
      <w:r w:rsidRPr="005A5645">
        <w:rPr>
          <w:rFonts w:eastAsia="仿宋_GB2312" w:cs="Times New Roman"/>
          <w:bCs/>
          <w:snapToGrid/>
          <w:color w:val="auto"/>
          <w:kern w:val="2"/>
          <w:sz w:val="32"/>
          <w:szCs w:val="24"/>
        </w:rPr>
        <w:t>GB 17167</w:t>
      </w:r>
      <w:r w:rsidRPr="005A5645">
        <w:rPr>
          <w:rFonts w:eastAsia="仿宋_GB2312" w:cs="Times New Roman"/>
          <w:bCs/>
          <w:snapToGrid/>
          <w:color w:val="auto"/>
          <w:kern w:val="2"/>
          <w:sz w:val="32"/>
          <w:szCs w:val="24"/>
        </w:rPr>
        <w:t>计量要求；用水计量器具配备符合</w:t>
      </w:r>
      <w:r w:rsidRPr="005A5645">
        <w:rPr>
          <w:rFonts w:eastAsia="仿宋_GB2312" w:cs="Times New Roman"/>
          <w:bCs/>
          <w:snapToGrid/>
          <w:color w:val="auto"/>
          <w:kern w:val="2"/>
          <w:sz w:val="32"/>
          <w:szCs w:val="24"/>
        </w:rPr>
        <w:t>GB/T 24789</w:t>
      </w:r>
      <w:r w:rsidRPr="005A5645">
        <w:rPr>
          <w:rFonts w:eastAsia="仿宋_GB2312" w:cs="Times New Roman"/>
          <w:bCs/>
          <w:snapToGrid/>
          <w:color w:val="auto"/>
          <w:kern w:val="2"/>
          <w:sz w:val="32"/>
          <w:szCs w:val="24"/>
        </w:rPr>
        <w:t>计量要求。</w:t>
      </w:r>
    </w:p>
    <w:p w14:paraId="372677E6" w14:textId="13B46584" w:rsidR="005A5645" w:rsidRPr="005A5645" w:rsidRDefault="005A5645" w:rsidP="00084192">
      <w:pPr>
        <w:pStyle w:val="affb"/>
        <w:spacing w:line="540" w:lineRule="exact"/>
        <w:ind w:firstLine="640"/>
        <w:rPr>
          <w:rFonts w:eastAsia="仿宋_GB2312" w:cs="Times New Roman"/>
          <w:bCs/>
          <w:snapToGrid/>
          <w:color w:val="auto"/>
          <w:kern w:val="2"/>
          <w:sz w:val="32"/>
          <w:szCs w:val="24"/>
        </w:rPr>
      </w:pPr>
      <w:r w:rsidRPr="005A5645">
        <w:rPr>
          <w:rFonts w:eastAsia="仿宋_GB2312" w:cs="Times New Roman"/>
          <w:bCs/>
          <w:snapToGrid/>
          <w:color w:val="auto"/>
          <w:kern w:val="2"/>
          <w:sz w:val="32"/>
          <w:szCs w:val="24"/>
        </w:rPr>
        <w:t>在清洁燃烧机构设置与管理制度方面，</w:t>
      </w:r>
      <w:r w:rsidR="005A6D7F" w:rsidRPr="005A6D7F">
        <w:rPr>
          <w:rFonts w:ascii="宋体" w:hAnsi="宋体" w:cs="Times New Roman"/>
          <w:bCs/>
          <w:snapToGrid/>
          <w:color w:val="auto"/>
          <w:kern w:val="2"/>
          <w:sz w:val="32"/>
          <w:szCs w:val="24"/>
        </w:rPr>
        <w:t>Ⅰ</w:t>
      </w:r>
      <w:r w:rsidR="005A6D7F">
        <w:rPr>
          <w:rFonts w:eastAsia="仿宋_GB2312" w:cs="Times New Roman" w:hint="eastAsia"/>
          <w:bCs/>
          <w:snapToGrid/>
          <w:color w:val="auto"/>
          <w:kern w:val="2"/>
          <w:sz w:val="32"/>
          <w:szCs w:val="24"/>
        </w:rPr>
        <w:t>、Ⅱ和Ⅲ</w:t>
      </w:r>
      <w:r w:rsidRPr="005A5645">
        <w:rPr>
          <w:rFonts w:eastAsia="仿宋_GB2312" w:cs="Times New Roman"/>
          <w:bCs/>
          <w:snapToGrid/>
          <w:color w:val="auto"/>
          <w:kern w:val="2"/>
          <w:sz w:val="32"/>
          <w:szCs w:val="24"/>
        </w:rPr>
        <w:t>级基准值要求建立清洁燃烧机构，明确人员分工，职责清晰</w:t>
      </w:r>
      <w:r w:rsidR="005A6D7F">
        <w:rPr>
          <w:rFonts w:eastAsia="仿宋_GB2312" w:cs="Times New Roman" w:hint="eastAsia"/>
          <w:bCs/>
          <w:snapToGrid/>
          <w:color w:val="auto"/>
          <w:kern w:val="2"/>
          <w:sz w:val="32"/>
          <w:szCs w:val="24"/>
        </w:rPr>
        <w:t>，同时</w:t>
      </w:r>
      <w:r w:rsidRPr="005A5645">
        <w:rPr>
          <w:rFonts w:eastAsia="仿宋_GB2312" w:cs="Times New Roman"/>
          <w:bCs/>
          <w:snapToGrid/>
          <w:color w:val="auto"/>
          <w:kern w:val="2"/>
          <w:sz w:val="32"/>
          <w:szCs w:val="24"/>
        </w:rPr>
        <w:t>建立并执行清洁燃烧管理制度和奖惩制度，确保管理制度落实。</w:t>
      </w:r>
    </w:p>
    <w:p w14:paraId="15B86753" w14:textId="77777777" w:rsidR="00445F8C" w:rsidRDefault="00084192" w:rsidP="00084192">
      <w:pPr>
        <w:pStyle w:val="affb"/>
        <w:spacing w:line="540" w:lineRule="exact"/>
        <w:ind w:firstLine="640"/>
        <w:rPr>
          <w:rFonts w:eastAsia="仿宋_GB2312" w:cs="Times New Roman"/>
          <w:snapToGrid/>
          <w:color w:val="auto"/>
          <w:kern w:val="2"/>
          <w:sz w:val="32"/>
          <w:szCs w:val="24"/>
        </w:rPr>
      </w:pPr>
      <w:r>
        <w:rPr>
          <w:rFonts w:eastAsia="仿宋_GB2312" w:cs="Times New Roman"/>
          <w:snapToGrid/>
          <w:color w:val="auto"/>
          <w:kern w:val="2"/>
          <w:sz w:val="32"/>
          <w:szCs w:val="24"/>
        </w:rPr>
        <w:t>上述清洁燃烧管理指标主要用于反映不同生物质锅炉在管理体系完善程度、制度执行力和运行保障能力方面的差异，作为清洁燃烧水平综合评价的重要支撑，不替代现行环境管理、职业健康安全管理和清洁生产相关法律法规及标准的强制性要求。</w:t>
      </w:r>
    </w:p>
    <w:p w14:paraId="5E60979E" w14:textId="5FC5A1D1" w:rsidR="00445F8C" w:rsidRDefault="009B52FC" w:rsidP="00084192">
      <w:pPr>
        <w:pStyle w:val="aff6"/>
        <w:numPr>
          <w:ilvl w:val="0"/>
          <w:numId w:val="18"/>
        </w:numPr>
        <w:autoSpaceDE w:val="0"/>
        <w:autoSpaceDN w:val="0"/>
        <w:adjustRightInd w:val="0"/>
        <w:spacing w:line="540" w:lineRule="exact"/>
        <w:ind w:left="0" w:firstLine="640"/>
        <w:jc w:val="left"/>
        <w:rPr>
          <w:rFonts w:eastAsia="黑体"/>
          <w:szCs w:val="32"/>
        </w:rPr>
      </w:pPr>
      <w:r>
        <w:rPr>
          <w:rFonts w:eastAsia="黑体" w:hint="eastAsia"/>
        </w:rPr>
        <w:t>评价方法</w:t>
      </w:r>
    </w:p>
    <w:p w14:paraId="3AA578A4" w14:textId="3B7D8F1B" w:rsidR="00445F8C" w:rsidRDefault="00084192" w:rsidP="00084192">
      <w:pPr>
        <w:autoSpaceDE w:val="0"/>
        <w:autoSpaceDN w:val="0"/>
        <w:adjustRightInd w:val="0"/>
        <w:spacing w:line="540" w:lineRule="exact"/>
        <w:ind w:firstLine="640"/>
        <w:jc w:val="left"/>
      </w:pPr>
      <w:r>
        <w:t>标准</w:t>
      </w:r>
      <w:proofErr w:type="gramStart"/>
      <w:r>
        <w:t>制订组</w:t>
      </w:r>
      <w:proofErr w:type="gramEnd"/>
      <w:r>
        <w:t>在前期工作中，面向长期从事生物质锅炉清洁燃烧技术研究与工程应用相关专家、锅炉制造企业以及生物质锅炉运行单位，采用问卷调查方式征集意见，系统获取各类专家对指</w:t>
      </w:r>
      <w:r>
        <w:lastRenderedPageBreak/>
        <w:t>标体系中各评价指标重要性的评分结果，并在此基础上确定了生物质锅炉烟气清洁燃烧评价指标体系中一级指标和二级指标的权重设置。具体指标设定值如表</w:t>
      </w:r>
      <w:r w:rsidR="005A6D7F">
        <w:rPr>
          <w:rFonts w:hint="eastAsia"/>
        </w:rPr>
        <w:t>11</w:t>
      </w:r>
      <w:r>
        <w:t>所示。</w:t>
      </w:r>
    </w:p>
    <w:p w14:paraId="79120929" w14:textId="03DBE176" w:rsidR="00445F8C" w:rsidRDefault="00084192">
      <w:pPr>
        <w:autoSpaceDE w:val="0"/>
        <w:autoSpaceDN w:val="0"/>
        <w:adjustRightInd w:val="0"/>
        <w:spacing w:line="560" w:lineRule="exact"/>
        <w:ind w:firstLine="640"/>
        <w:jc w:val="center"/>
      </w:pPr>
      <w:r>
        <w:t>表</w:t>
      </w:r>
      <w:r w:rsidR="005A6D7F">
        <w:rPr>
          <w:rFonts w:hint="eastAsia"/>
        </w:rPr>
        <w:t>11</w:t>
      </w:r>
      <w:r>
        <w:t>生物质锅炉清洁燃烧评价指标体系</w:t>
      </w:r>
    </w:p>
    <w:tbl>
      <w:tblPr>
        <w:tblStyle w:val="afd"/>
        <w:tblW w:w="892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8"/>
        <w:gridCol w:w="1569"/>
        <w:gridCol w:w="709"/>
        <w:gridCol w:w="935"/>
        <w:gridCol w:w="1003"/>
        <w:gridCol w:w="66"/>
        <w:gridCol w:w="29"/>
        <w:gridCol w:w="2033"/>
        <w:gridCol w:w="1462"/>
        <w:gridCol w:w="717"/>
      </w:tblGrid>
      <w:tr w:rsidR="00445F8C" w14:paraId="59A66A56" w14:textId="77777777" w:rsidTr="005A6D7F">
        <w:trPr>
          <w:trHeight w:val="283"/>
          <w:tblHeader/>
          <w:jc w:val="center"/>
        </w:trPr>
        <w:tc>
          <w:tcPr>
            <w:tcW w:w="398" w:type="dxa"/>
            <w:tcBorders>
              <w:top w:val="single" w:sz="8" w:space="0" w:color="auto"/>
              <w:bottom w:val="single" w:sz="8" w:space="0" w:color="auto"/>
            </w:tcBorders>
            <w:vAlign w:val="center"/>
          </w:tcPr>
          <w:p w14:paraId="43F66514"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序号</w:t>
            </w:r>
          </w:p>
        </w:tc>
        <w:tc>
          <w:tcPr>
            <w:tcW w:w="1569" w:type="dxa"/>
            <w:tcBorders>
              <w:top w:val="single" w:sz="8" w:space="0" w:color="auto"/>
              <w:bottom w:val="single" w:sz="8" w:space="0" w:color="auto"/>
            </w:tcBorders>
            <w:vAlign w:val="center"/>
          </w:tcPr>
          <w:p w14:paraId="5E907B6B"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一级指标</w:t>
            </w:r>
          </w:p>
        </w:tc>
        <w:tc>
          <w:tcPr>
            <w:tcW w:w="709" w:type="dxa"/>
            <w:tcBorders>
              <w:top w:val="single" w:sz="8" w:space="0" w:color="auto"/>
              <w:bottom w:val="single" w:sz="8" w:space="0" w:color="auto"/>
            </w:tcBorders>
            <w:vAlign w:val="center"/>
          </w:tcPr>
          <w:p w14:paraId="67DB98D4"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一级指标权重</w:t>
            </w:r>
          </w:p>
        </w:tc>
        <w:tc>
          <w:tcPr>
            <w:tcW w:w="4066" w:type="dxa"/>
            <w:gridSpan w:val="5"/>
            <w:tcBorders>
              <w:top w:val="single" w:sz="8" w:space="0" w:color="auto"/>
              <w:bottom w:val="single" w:sz="8" w:space="0" w:color="auto"/>
            </w:tcBorders>
            <w:vAlign w:val="center"/>
          </w:tcPr>
          <w:p w14:paraId="6E82D880"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二级指标</w:t>
            </w:r>
          </w:p>
        </w:tc>
        <w:tc>
          <w:tcPr>
            <w:tcW w:w="1462" w:type="dxa"/>
            <w:tcBorders>
              <w:top w:val="single" w:sz="8" w:space="0" w:color="auto"/>
              <w:bottom w:val="single" w:sz="8" w:space="0" w:color="auto"/>
            </w:tcBorders>
            <w:vAlign w:val="center"/>
          </w:tcPr>
          <w:p w14:paraId="2CB89E63"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单位</w:t>
            </w:r>
          </w:p>
        </w:tc>
        <w:tc>
          <w:tcPr>
            <w:tcW w:w="717" w:type="dxa"/>
            <w:tcBorders>
              <w:top w:val="single" w:sz="8" w:space="0" w:color="auto"/>
              <w:bottom w:val="single" w:sz="8" w:space="0" w:color="auto"/>
            </w:tcBorders>
            <w:vAlign w:val="center"/>
          </w:tcPr>
          <w:p w14:paraId="41A1076B"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二级指标权重</w:t>
            </w:r>
          </w:p>
        </w:tc>
      </w:tr>
      <w:tr w:rsidR="005A6D7F" w14:paraId="3C3DC594" w14:textId="77777777" w:rsidTr="005A6D7F">
        <w:trPr>
          <w:trHeight w:val="283"/>
          <w:jc w:val="center"/>
        </w:trPr>
        <w:tc>
          <w:tcPr>
            <w:tcW w:w="398" w:type="dxa"/>
            <w:vMerge w:val="restart"/>
            <w:tcBorders>
              <w:top w:val="single" w:sz="8" w:space="0" w:color="auto"/>
            </w:tcBorders>
            <w:vAlign w:val="center"/>
          </w:tcPr>
          <w:p w14:paraId="604A569B"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1</w:t>
            </w:r>
          </w:p>
        </w:tc>
        <w:tc>
          <w:tcPr>
            <w:tcW w:w="1569" w:type="dxa"/>
            <w:vMerge w:val="restart"/>
            <w:tcBorders>
              <w:top w:val="single" w:sz="8" w:space="0" w:color="auto"/>
            </w:tcBorders>
            <w:vAlign w:val="center"/>
          </w:tcPr>
          <w:p w14:paraId="1EE971B2"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生产工艺和装备</w:t>
            </w:r>
          </w:p>
        </w:tc>
        <w:tc>
          <w:tcPr>
            <w:tcW w:w="709" w:type="dxa"/>
            <w:vMerge w:val="restart"/>
            <w:tcBorders>
              <w:top w:val="single" w:sz="8" w:space="0" w:color="auto"/>
            </w:tcBorders>
            <w:vAlign w:val="center"/>
          </w:tcPr>
          <w:p w14:paraId="7CBB7707" w14:textId="07181B2E" w:rsidR="005A6D7F" w:rsidRPr="005A6D7F" w:rsidRDefault="005A6D7F">
            <w:pPr>
              <w:pStyle w:val="affd"/>
              <w:rPr>
                <w:rFonts w:ascii="Times New Roman" w:eastAsia="仿宋_GB2312"/>
                <w:sz w:val="24"/>
                <w:szCs w:val="24"/>
              </w:rPr>
            </w:pPr>
            <w:r w:rsidRPr="005A6D7F">
              <w:rPr>
                <w:rFonts w:ascii="Times New Roman" w:eastAsia="仿宋_GB2312"/>
                <w:sz w:val="24"/>
                <w:szCs w:val="24"/>
              </w:rPr>
              <w:t>0.30</w:t>
            </w:r>
          </w:p>
        </w:tc>
        <w:tc>
          <w:tcPr>
            <w:tcW w:w="4066" w:type="dxa"/>
            <w:gridSpan w:val="5"/>
            <w:tcBorders>
              <w:top w:val="single" w:sz="8" w:space="0" w:color="auto"/>
              <w:bottom w:val="single" w:sz="4" w:space="0" w:color="auto"/>
            </w:tcBorders>
            <w:vAlign w:val="center"/>
          </w:tcPr>
          <w:p w14:paraId="3ED23EAE"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生产工艺</w:t>
            </w:r>
          </w:p>
        </w:tc>
        <w:tc>
          <w:tcPr>
            <w:tcW w:w="1462" w:type="dxa"/>
            <w:tcBorders>
              <w:top w:val="single" w:sz="8" w:space="0" w:color="auto"/>
              <w:bottom w:val="single" w:sz="4" w:space="0" w:color="auto"/>
            </w:tcBorders>
            <w:vAlign w:val="center"/>
          </w:tcPr>
          <w:p w14:paraId="22BB6BDC"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tcBorders>
              <w:top w:val="single" w:sz="8" w:space="0" w:color="auto"/>
              <w:bottom w:val="single" w:sz="4" w:space="0" w:color="auto"/>
            </w:tcBorders>
            <w:vAlign w:val="center"/>
          </w:tcPr>
          <w:p w14:paraId="0B2597D0"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r>
      <w:tr w:rsidR="005A6D7F" w14:paraId="1296E8FD" w14:textId="77777777" w:rsidTr="00084192">
        <w:trPr>
          <w:trHeight w:val="283"/>
          <w:jc w:val="center"/>
        </w:trPr>
        <w:tc>
          <w:tcPr>
            <w:tcW w:w="398" w:type="dxa"/>
            <w:vMerge/>
            <w:vAlign w:val="center"/>
          </w:tcPr>
          <w:p w14:paraId="28D18F64" w14:textId="77777777" w:rsidR="005A6D7F" w:rsidRPr="005A6D7F" w:rsidRDefault="005A6D7F">
            <w:pPr>
              <w:pStyle w:val="affd"/>
              <w:rPr>
                <w:rFonts w:ascii="Times New Roman" w:eastAsia="仿宋_GB2312"/>
                <w:sz w:val="24"/>
                <w:szCs w:val="24"/>
              </w:rPr>
            </w:pPr>
          </w:p>
        </w:tc>
        <w:tc>
          <w:tcPr>
            <w:tcW w:w="1569" w:type="dxa"/>
            <w:vMerge/>
            <w:vAlign w:val="center"/>
          </w:tcPr>
          <w:p w14:paraId="0A76B3E4" w14:textId="77777777" w:rsidR="005A6D7F" w:rsidRPr="005A6D7F" w:rsidRDefault="005A6D7F">
            <w:pPr>
              <w:pStyle w:val="affd"/>
              <w:rPr>
                <w:rFonts w:ascii="Times New Roman" w:eastAsia="仿宋_GB2312"/>
                <w:sz w:val="24"/>
                <w:szCs w:val="24"/>
              </w:rPr>
            </w:pPr>
          </w:p>
        </w:tc>
        <w:tc>
          <w:tcPr>
            <w:tcW w:w="709" w:type="dxa"/>
            <w:vMerge/>
            <w:vAlign w:val="center"/>
          </w:tcPr>
          <w:p w14:paraId="06DFED06" w14:textId="77777777" w:rsidR="005A6D7F" w:rsidRPr="005A6D7F" w:rsidRDefault="005A6D7F">
            <w:pPr>
              <w:pStyle w:val="affd"/>
              <w:rPr>
                <w:rFonts w:ascii="Times New Roman" w:eastAsia="仿宋_GB2312"/>
                <w:sz w:val="24"/>
                <w:szCs w:val="24"/>
              </w:rPr>
            </w:pPr>
          </w:p>
        </w:tc>
        <w:tc>
          <w:tcPr>
            <w:tcW w:w="2004" w:type="dxa"/>
            <w:gridSpan w:val="3"/>
            <w:vMerge w:val="restart"/>
            <w:vAlign w:val="center"/>
          </w:tcPr>
          <w:p w14:paraId="0170C7DC" w14:textId="5725D6F3" w:rsidR="005A6D7F" w:rsidRPr="005A6D7F" w:rsidRDefault="005A6D7F">
            <w:pPr>
              <w:pStyle w:val="affd"/>
              <w:rPr>
                <w:rFonts w:ascii="Times New Roman" w:eastAsia="仿宋_GB2312"/>
                <w:sz w:val="24"/>
                <w:szCs w:val="24"/>
              </w:rPr>
            </w:pPr>
            <w:r w:rsidRPr="005A6D7F">
              <w:rPr>
                <w:rFonts w:ascii="Times New Roman" w:eastAsia="仿宋_GB2312"/>
                <w:sz w:val="24"/>
                <w:szCs w:val="24"/>
              </w:rPr>
              <w:t>锅炉热效率</w:t>
            </w:r>
          </w:p>
        </w:tc>
        <w:tc>
          <w:tcPr>
            <w:tcW w:w="2062" w:type="dxa"/>
            <w:gridSpan w:val="2"/>
            <w:tcBorders>
              <w:top w:val="single" w:sz="4" w:space="0" w:color="auto"/>
              <w:bottom w:val="single" w:sz="4" w:space="0" w:color="auto"/>
            </w:tcBorders>
            <w:vAlign w:val="center"/>
          </w:tcPr>
          <w:p w14:paraId="5EAFEB02"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层燃锅炉、</w:t>
            </w:r>
            <w:proofErr w:type="gramStart"/>
            <w:r w:rsidRPr="005A6D7F">
              <w:rPr>
                <w:rFonts w:ascii="Times New Roman" w:eastAsia="仿宋_GB2312"/>
                <w:sz w:val="24"/>
                <w:szCs w:val="24"/>
              </w:rPr>
              <w:t>室燃锅炉</w:t>
            </w:r>
            <w:proofErr w:type="gramEnd"/>
          </w:p>
        </w:tc>
        <w:tc>
          <w:tcPr>
            <w:tcW w:w="1462" w:type="dxa"/>
            <w:tcBorders>
              <w:top w:val="single" w:sz="4" w:space="0" w:color="auto"/>
              <w:bottom w:val="single" w:sz="4" w:space="0" w:color="auto"/>
            </w:tcBorders>
            <w:vAlign w:val="center"/>
          </w:tcPr>
          <w:p w14:paraId="1DD78C63"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vMerge w:val="restart"/>
            <w:tcBorders>
              <w:top w:val="single" w:sz="4" w:space="0" w:color="auto"/>
            </w:tcBorders>
            <w:vAlign w:val="center"/>
          </w:tcPr>
          <w:p w14:paraId="71317D0A" w14:textId="761C7BE5" w:rsidR="005A6D7F" w:rsidRPr="005A6D7F" w:rsidRDefault="005A6D7F">
            <w:pPr>
              <w:pStyle w:val="affd"/>
              <w:rPr>
                <w:rFonts w:ascii="Times New Roman" w:eastAsia="仿宋_GB2312"/>
                <w:sz w:val="24"/>
                <w:szCs w:val="24"/>
              </w:rPr>
            </w:pPr>
            <w:r w:rsidRPr="005A6D7F">
              <w:rPr>
                <w:rFonts w:ascii="Times New Roman" w:eastAsia="仿宋_GB2312"/>
                <w:sz w:val="24"/>
                <w:szCs w:val="24"/>
              </w:rPr>
              <w:t>0.15</w:t>
            </w:r>
          </w:p>
        </w:tc>
      </w:tr>
      <w:tr w:rsidR="005A6D7F" w14:paraId="111542A8" w14:textId="77777777" w:rsidTr="00084192">
        <w:trPr>
          <w:trHeight w:val="283"/>
          <w:jc w:val="center"/>
        </w:trPr>
        <w:tc>
          <w:tcPr>
            <w:tcW w:w="398" w:type="dxa"/>
            <w:vMerge/>
            <w:vAlign w:val="center"/>
          </w:tcPr>
          <w:p w14:paraId="4274EB3B" w14:textId="77777777" w:rsidR="005A6D7F" w:rsidRPr="005A6D7F" w:rsidRDefault="005A6D7F">
            <w:pPr>
              <w:pStyle w:val="affd"/>
              <w:rPr>
                <w:rFonts w:ascii="Times New Roman" w:eastAsia="仿宋_GB2312"/>
                <w:sz w:val="24"/>
                <w:szCs w:val="24"/>
              </w:rPr>
            </w:pPr>
          </w:p>
        </w:tc>
        <w:tc>
          <w:tcPr>
            <w:tcW w:w="1569" w:type="dxa"/>
            <w:vMerge/>
            <w:vAlign w:val="center"/>
          </w:tcPr>
          <w:p w14:paraId="1A710E8D" w14:textId="77777777" w:rsidR="005A6D7F" w:rsidRPr="005A6D7F" w:rsidRDefault="005A6D7F">
            <w:pPr>
              <w:pStyle w:val="affd"/>
              <w:rPr>
                <w:rFonts w:ascii="Times New Roman" w:eastAsia="仿宋_GB2312"/>
                <w:sz w:val="24"/>
                <w:szCs w:val="24"/>
              </w:rPr>
            </w:pPr>
          </w:p>
        </w:tc>
        <w:tc>
          <w:tcPr>
            <w:tcW w:w="709" w:type="dxa"/>
            <w:vMerge/>
            <w:vAlign w:val="center"/>
          </w:tcPr>
          <w:p w14:paraId="7E480213" w14:textId="77777777" w:rsidR="005A6D7F" w:rsidRPr="005A6D7F" w:rsidRDefault="005A6D7F">
            <w:pPr>
              <w:pStyle w:val="affd"/>
              <w:rPr>
                <w:rFonts w:ascii="Times New Roman" w:eastAsia="仿宋_GB2312"/>
                <w:sz w:val="24"/>
                <w:szCs w:val="24"/>
              </w:rPr>
            </w:pPr>
          </w:p>
        </w:tc>
        <w:tc>
          <w:tcPr>
            <w:tcW w:w="2004" w:type="dxa"/>
            <w:gridSpan w:val="3"/>
            <w:vMerge/>
            <w:vAlign w:val="center"/>
          </w:tcPr>
          <w:p w14:paraId="14F00875" w14:textId="77777777" w:rsidR="005A6D7F" w:rsidRPr="005A6D7F" w:rsidRDefault="005A6D7F">
            <w:pPr>
              <w:pStyle w:val="affd"/>
              <w:rPr>
                <w:rFonts w:ascii="Times New Roman" w:eastAsia="仿宋_GB2312"/>
                <w:sz w:val="24"/>
                <w:szCs w:val="24"/>
              </w:rPr>
            </w:pPr>
          </w:p>
        </w:tc>
        <w:tc>
          <w:tcPr>
            <w:tcW w:w="2062" w:type="dxa"/>
            <w:gridSpan w:val="2"/>
            <w:tcBorders>
              <w:top w:val="single" w:sz="4" w:space="0" w:color="auto"/>
              <w:bottom w:val="single" w:sz="4" w:space="0" w:color="auto"/>
            </w:tcBorders>
            <w:vAlign w:val="center"/>
          </w:tcPr>
          <w:p w14:paraId="57812819"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tcBorders>
              <w:top w:val="single" w:sz="4" w:space="0" w:color="auto"/>
              <w:bottom w:val="single" w:sz="4" w:space="0" w:color="auto"/>
            </w:tcBorders>
            <w:vAlign w:val="center"/>
          </w:tcPr>
          <w:p w14:paraId="10EC3EBF"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vMerge/>
            <w:tcBorders>
              <w:bottom w:val="single" w:sz="4" w:space="0" w:color="auto"/>
            </w:tcBorders>
            <w:vAlign w:val="center"/>
          </w:tcPr>
          <w:p w14:paraId="522FDBEF" w14:textId="77777777" w:rsidR="005A6D7F" w:rsidRPr="005A6D7F" w:rsidRDefault="005A6D7F">
            <w:pPr>
              <w:pStyle w:val="affd"/>
              <w:rPr>
                <w:rFonts w:ascii="Times New Roman" w:eastAsia="仿宋_GB2312"/>
                <w:sz w:val="24"/>
                <w:szCs w:val="24"/>
              </w:rPr>
            </w:pPr>
          </w:p>
        </w:tc>
      </w:tr>
      <w:tr w:rsidR="005A6D7F" w14:paraId="344FB2AF" w14:textId="77777777" w:rsidTr="00084192">
        <w:trPr>
          <w:trHeight w:val="283"/>
          <w:jc w:val="center"/>
        </w:trPr>
        <w:tc>
          <w:tcPr>
            <w:tcW w:w="398" w:type="dxa"/>
            <w:vMerge/>
            <w:vAlign w:val="center"/>
          </w:tcPr>
          <w:p w14:paraId="77AAF0E8" w14:textId="77777777" w:rsidR="005A6D7F" w:rsidRPr="005A6D7F" w:rsidRDefault="005A6D7F">
            <w:pPr>
              <w:pStyle w:val="affd"/>
              <w:rPr>
                <w:rFonts w:ascii="Times New Roman" w:eastAsia="仿宋_GB2312"/>
                <w:sz w:val="24"/>
                <w:szCs w:val="24"/>
              </w:rPr>
            </w:pPr>
          </w:p>
        </w:tc>
        <w:tc>
          <w:tcPr>
            <w:tcW w:w="1569" w:type="dxa"/>
            <w:vMerge/>
            <w:vAlign w:val="center"/>
          </w:tcPr>
          <w:p w14:paraId="73E8F83A" w14:textId="77777777" w:rsidR="005A6D7F" w:rsidRPr="005A6D7F" w:rsidRDefault="005A6D7F">
            <w:pPr>
              <w:pStyle w:val="affd"/>
              <w:rPr>
                <w:rFonts w:ascii="Times New Roman" w:eastAsia="仿宋_GB2312"/>
                <w:sz w:val="24"/>
                <w:szCs w:val="24"/>
              </w:rPr>
            </w:pPr>
          </w:p>
        </w:tc>
        <w:tc>
          <w:tcPr>
            <w:tcW w:w="709" w:type="dxa"/>
            <w:vMerge/>
            <w:vAlign w:val="center"/>
          </w:tcPr>
          <w:p w14:paraId="4B87C454" w14:textId="77777777" w:rsidR="005A6D7F" w:rsidRPr="005A6D7F" w:rsidRDefault="005A6D7F">
            <w:pPr>
              <w:pStyle w:val="affd"/>
              <w:rPr>
                <w:rFonts w:ascii="Times New Roman" w:eastAsia="仿宋_GB2312"/>
                <w:sz w:val="24"/>
                <w:szCs w:val="24"/>
              </w:rPr>
            </w:pPr>
          </w:p>
        </w:tc>
        <w:tc>
          <w:tcPr>
            <w:tcW w:w="2004" w:type="dxa"/>
            <w:gridSpan w:val="3"/>
            <w:vMerge w:val="restart"/>
            <w:vAlign w:val="center"/>
          </w:tcPr>
          <w:p w14:paraId="7E1FD5EB" w14:textId="61B41B11" w:rsidR="005A6D7F" w:rsidRPr="005A6D7F" w:rsidRDefault="005A6D7F">
            <w:pPr>
              <w:pStyle w:val="affd"/>
              <w:rPr>
                <w:rFonts w:ascii="Times New Roman" w:eastAsia="仿宋_GB2312"/>
                <w:sz w:val="24"/>
                <w:szCs w:val="24"/>
              </w:rPr>
            </w:pPr>
            <w:r w:rsidRPr="005A6D7F">
              <w:rPr>
                <w:rFonts w:ascii="Times New Roman" w:eastAsia="仿宋_GB2312"/>
                <w:sz w:val="24"/>
                <w:szCs w:val="24"/>
              </w:rPr>
              <w:t>飞灰碳含量</w:t>
            </w:r>
          </w:p>
        </w:tc>
        <w:tc>
          <w:tcPr>
            <w:tcW w:w="2062" w:type="dxa"/>
            <w:gridSpan w:val="2"/>
            <w:tcBorders>
              <w:top w:val="single" w:sz="4" w:space="0" w:color="auto"/>
              <w:bottom w:val="single" w:sz="4" w:space="0" w:color="auto"/>
            </w:tcBorders>
            <w:vAlign w:val="center"/>
          </w:tcPr>
          <w:p w14:paraId="265E967A"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层燃锅炉、</w:t>
            </w:r>
            <w:proofErr w:type="gramStart"/>
            <w:r w:rsidRPr="005A6D7F">
              <w:rPr>
                <w:rFonts w:ascii="Times New Roman" w:eastAsia="仿宋_GB2312"/>
                <w:sz w:val="24"/>
                <w:szCs w:val="24"/>
              </w:rPr>
              <w:t>室燃锅炉</w:t>
            </w:r>
            <w:proofErr w:type="gramEnd"/>
          </w:p>
        </w:tc>
        <w:tc>
          <w:tcPr>
            <w:tcW w:w="1462" w:type="dxa"/>
            <w:tcBorders>
              <w:top w:val="single" w:sz="4" w:space="0" w:color="auto"/>
              <w:bottom w:val="single" w:sz="4" w:space="0" w:color="auto"/>
            </w:tcBorders>
            <w:vAlign w:val="center"/>
          </w:tcPr>
          <w:p w14:paraId="15BF94C6"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vMerge w:val="restart"/>
            <w:tcBorders>
              <w:top w:val="single" w:sz="4" w:space="0" w:color="auto"/>
            </w:tcBorders>
            <w:vAlign w:val="center"/>
          </w:tcPr>
          <w:p w14:paraId="71BB2A39" w14:textId="2DCE20F8" w:rsidR="005A6D7F" w:rsidRPr="005A6D7F" w:rsidRDefault="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59652C20" w14:textId="77777777" w:rsidTr="00084192">
        <w:trPr>
          <w:trHeight w:val="283"/>
          <w:jc w:val="center"/>
        </w:trPr>
        <w:tc>
          <w:tcPr>
            <w:tcW w:w="398" w:type="dxa"/>
            <w:vMerge/>
            <w:vAlign w:val="center"/>
          </w:tcPr>
          <w:p w14:paraId="7086C5A7" w14:textId="77777777" w:rsidR="005A6D7F" w:rsidRPr="005A6D7F" w:rsidRDefault="005A6D7F">
            <w:pPr>
              <w:pStyle w:val="affd"/>
              <w:rPr>
                <w:rFonts w:ascii="Times New Roman" w:eastAsia="仿宋_GB2312"/>
                <w:sz w:val="24"/>
                <w:szCs w:val="24"/>
              </w:rPr>
            </w:pPr>
          </w:p>
        </w:tc>
        <w:tc>
          <w:tcPr>
            <w:tcW w:w="1569" w:type="dxa"/>
            <w:vMerge/>
            <w:vAlign w:val="center"/>
          </w:tcPr>
          <w:p w14:paraId="7D598EF3" w14:textId="77777777" w:rsidR="005A6D7F" w:rsidRPr="005A6D7F" w:rsidRDefault="005A6D7F">
            <w:pPr>
              <w:pStyle w:val="affd"/>
              <w:rPr>
                <w:rFonts w:ascii="Times New Roman" w:eastAsia="仿宋_GB2312"/>
                <w:sz w:val="24"/>
                <w:szCs w:val="24"/>
              </w:rPr>
            </w:pPr>
          </w:p>
        </w:tc>
        <w:tc>
          <w:tcPr>
            <w:tcW w:w="709" w:type="dxa"/>
            <w:vMerge/>
            <w:vAlign w:val="center"/>
          </w:tcPr>
          <w:p w14:paraId="6FCE0712" w14:textId="77777777" w:rsidR="005A6D7F" w:rsidRPr="005A6D7F" w:rsidRDefault="005A6D7F">
            <w:pPr>
              <w:pStyle w:val="affd"/>
              <w:rPr>
                <w:rFonts w:ascii="Times New Roman" w:eastAsia="仿宋_GB2312"/>
                <w:sz w:val="24"/>
                <w:szCs w:val="24"/>
              </w:rPr>
            </w:pPr>
          </w:p>
        </w:tc>
        <w:tc>
          <w:tcPr>
            <w:tcW w:w="2004" w:type="dxa"/>
            <w:gridSpan w:val="3"/>
            <w:vMerge/>
            <w:vAlign w:val="center"/>
          </w:tcPr>
          <w:p w14:paraId="5FEA02C5" w14:textId="77777777" w:rsidR="005A6D7F" w:rsidRPr="005A6D7F" w:rsidRDefault="005A6D7F">
            <w:pPr>
              <w:pStyle w:val="affd"/>
              <w:rPr>
                <w:rFonts w:ascii="Times New Roman" w:eastAsia="仿宋_GB2312"/>
                <w:sz w:val="24"/>
                <w:szCs w:val="24"/>
              </w:rPr>
            </w:pPr>
          </w:p>
        </w:tc>
        <w:tc>
          <w:tcPr>
            <w:tcW w:w="2062" w:type="dxa"/>
            <w:gridSpan w:val="2"/>
            <w:tcBorders>
              <w:top w:val="single" w:sz="4" w:space="0" w:color="auto"/>
              <w:bottom w:val="single" w:sz="4" w:space="0" w:color="auto"/>
            </w:tcBorders>
            <w:vAlign w:val="center"/>
          </w:tcPr>
          <w:p w14:paraId="2F79319C"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tcBorders>
              <w:top w:val="single" w:sz="4" w:space="0" w:color="auto"/>
              <w:bottom w:val="single" w:sz="4" w:space="0" w:color="auto"/>
            </w:tcBorders>
            <w:vAlign w:val="center"/>
          </w:tcPr>
          <w:p w14:paraId="5770F2AE"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vMerge/>
            <w:tcBorders>
              <w:bottom w:val="single" w:sz="4" w:space="0" w:color="auto"/>
            </w:tcBorders>
            <w:vAlign w:val="center"/>
          </w:tcPr>
          <w:p w14:paraId="231AE237" w14:textId="77777777" w:rsidR="005A6D7F" w:rsidRPr="005A6D7F" w:rsidRDefault="005A6D7F">
            <w:pPr>
              <w:pStyle w:val="affd"/>
              <w:rPr>
                <w:rFonts w:ascii="Times New Roman" w:eastAsia="仿宋_GB2312"/>
                <w:sz w:val="24"/>
                <w:szCs w:val="24"/>
              </w:rPr>
            </w:pPr>
          </w:p>
        </w:tc>
      </w:tr>
      <w:tr w:rsidR="005A6D7F" w14:paraId="0861A416" w14:textId="77777777" w:rsidTr="00084192">
        <w:trPr>
          <w:trHeight w:val="283"/>
          <w:jc w:val="center"/>
        </w:trPr>
        <w:tc>
          <w:tcPr>
            <w:tcW w:w="398" w:type="dxa"/>
            <w:vMerge/>
            <w:vAlign w:val="center"/>
          </w:tcPr>
          <w:p w14:paraId="195AA0CB" w14:textId="77777777" w:rsidR="005A6D7F" w:rsidRPr="005A6D7F" w:rsidRDefault="005A6D7F">
            <w:pPr>
              <w:pStyle w:val="affd"/>
              <w:rPr>
                <w:rFonts w:ascii="Times New Roman" w:eastAsia="仿宋_GB2312"/>
                <w:sz w:val="24"/>
                <w:szCs w:val="24"/>
              </w:rPr>
            </w:pPr>
          </w:p>
        </w:tc>
        <w:tc>
          <w:tcPr>
            <w:tcW w:w="1569" w:type="dxa"/>
            <w:vMerge/>
            <w:vAlign w:val="center"/>
          </w:tcPr>
          <w:p w14:paraId="44D74511" w14:textId="77777777" w:rsidR="005A6D7F" w:rsidRPr="005A6D7F" w:rsidRDefault="005A6D7F">
            <w:pPr>
              <w:pStyle w:val="affd"/>
              <w:rPr>
                <w:rFonts w:ascii="Times New Roman" w:eastAsia="仿宋_GB2312"/>
                <w:sz w:val="24"/>
                <w:szCs w:val="24"/>
              </w:rPr>
            </w:pPr>
          </w:p>
        </w:tc>
        <w:tc>
          <w:tcPr>
            <w:tcW w:w="709" w:type="dxa"/>
            <w:vMerge/>
            <w:vAlign w:val="center"/>
          </w:tcPr>
          <w:p w14:paraId="1181754B" w14:textId="77777777" w:rsidR="005A6D7F" w:rsidRPr="005A6D7F" w:rsidRDefault="005A6D7F">
            <w:pPr>
              <w:pStyle w:val="affd"/>
              <w:rPr>
                <w:rFonts w:ascii="Times New Roman" w:eastAsia="仿宋_GB2312"/>
                <w:sz w:val="24"/>
                <w:szCs w:val="24"/>
              </w:rPr>
            </w:pPr>
          </w:p>
        </w:tc>
        <w:tc>
          <w:tcPr>
            <w:tcW w:w="2004" w:type="dxa"/>
            <w:gridSpan w:val="3"/>
            <w:vMerge w:val="restart"/>
            <w:vAlign w:val="center"/>
          </w:tcPr>
          <w:p w14:paraId="21016F88" w14:textId="73978256" w:rsidR="005A6D7F" w:rsidRPr="005A6D7F" w:rsidRDefault="005A6D7F">
            <w:pPr>
              <w:pStyle w:val="affd"/>
              <w:rPr>
                <w:rFonts w:ascii="Times New Roman" w:eastAsia="仿宋_GB2312"/>
                <w:sz w:val="24"/>
                <w:szCs w:val="24"/>
              </w:rPr>
            </w:pPr>
            <w:proofErr w:type="gramStart"/>
            <w:r w:rsidRPr="005A6D7F">
              <w:rPr>
                <w:rFonts w:ascii="Times New Roman" w:eastAsia="仿宋_GB2312"/>
                <w:sz w:val="24"/>
                <w:szCs w:val="24"/>
              </w:rPr>
              <w:t>底渣碳</w:t>
            </w:r>
            <w:proofErr w:type="gramEnd"/>
            <w:r w:rsidRPr="005A6D7F">
              <w:rPr>
                <w:rFonts w:ascii="Times New Roman" w:eastAsia="仿宋_GB2312"/>
                <w:sz w:val="24"/>
                <w:szCs w:val="24"/>
              </w:rPr>
              <w:t>含量</w:t>
            </w:r>
          </w:p>
        </w:tc>
        <w:tc>
          <w:tcPr>
            <w:tcW w:w="2062" w:type="dxa"/>
            <w:gridSpan w:val="2"/>
            <w:tcBorders>
              <w:top w:val="single" w:sz="4" w:space="0" w:color="auto"/>
              <w:bottom w:val="single" w:sz="4" w:space="0" w:color="auto"/>
            </w:tcBorders>
            <w:vAlign w:val="center"/>
          </w:tcPr>
          <w:p w14:paraId="4F207A04"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层燃锅炉、</w:t>
            </w:r>
            <w:proofErr w:type="gramStart"/>
            <w:r w:rsidRPr="005A6D7F">
              <w:rPr>
                <w:rFonts w:ascii="Times New Roman" w:eastAsia="仿宋_GB2312"/>
                <w:sz w:val="24"/>
                <w:szCs w:val="24"/>
              </w:rPr>
              <w:t>室燃锅炉</w:t>
            </w:r>
            <w:proofErr w:type="gramEnd"/>
          </w:p>
        </w:tc>
        <w:tc>
          <w:tcPr>
            <w:tcW w:w="1462" w:type="dxa"/>
            <w:tcBorders>
              <w:top w:val="single" w:sz="4" w:space="0" w:color="auto"/>
              <w:bottom w:val="single" w:sz="4" w:space="0" w:color="auto"/>
            </w:tcBorders>
            <w:vAlign w:val="center"/>
          </w:tcPr>
          <w:p w14:paraId="2BF5BB7A"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vMerge w:val="restart"/>
            <w:tcBorders>
              <w:top w:val="single" w:sz="4" w:space="0" w:color="auto"/>
            </w:tcBorders>
            <w:vAlign w:val="center"/>
          </w:tcPr>
          <w:p w14:paraId="0D2610DD" w14:textId="6DBB0BA7" w:rsidR="005A6D7F" w:rsidRPr="005A6D7F" w:rsidRDefault="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49612BD5" w14:textId="77777777" w:rsidTr="00084192">
        <w:trPr>
          <w:trHeight w:val="283"/>
          <w:jc w:val="center"/>
        </w:trPr>
        <w:tc>
          <w:tcPr>
            <w:tcW w:w="398" w:type="dxa"/>
            <w:vMerge/>
            <w:vAlign w:val="center"/>
          </w:tcPr>
          <w:p w14:paraId="24E0A381" w14:textId="77777777" w:rsidR="005A6D7F" w:rsidRPr="005A6D7F" w:rsidRDefault="005A6D7F">
            <w:pPr>
              <w:pStyle w:val="affd"/>
              <w:rPr>
                <w:rFonts w:ascii="Times New Roman" w:eastAsia="仿宋_GB2312"/>
                <w:sz w:val="24"/>
                <w:szCs w:val="24"/>
              </w:rPr>
            </w:pPr>
          </w:p>
        </w:tc>
        <w:tc>
          <w:tcPr>
            <w:tcW w:w="1569" w:type="dxa"/>
            <w:vMerge/>
            <w:vAlign w:val="center"/>
          </w:tcPr>
          <w:p w14:paraId="58ED5897" w14:textId="77777777" w:rsidR="005A6D7F" w:rsidRPr="005A6D7F" w:rsidRDefault="005A6D7F">
            <w:pPr>
              <w:pStyle w:val="affd"/>
              <w:rPr>
                <w:rFonts w:ascii="Times New Roman" w:eastAsia="仿宋_GB2312"/>
                <w:sz w:val="24"/>
                <w:szCs w:val="24"/>
              </w:rPr>
            </w:pPr>
          </w:p>
        </w:tc>
        <w:tc>
          <w:tcPr>
            <w:tcW w:w="709" w:type="dxa"/>
            <w:vMerge/>
            <w:vAlign w:val="center"/>
          </w:tcPr>
          <w:p w14:paraId="246C72B2" w14:textId="77777777" w:rsidR="005A6D7F" w:rsidRPr="005A6D7F" w:rsidRDefault="005A6D7F">
            <w:pPr>
              <w:pStyle w:val="affd"/>
              <w:rPr>
                <w:rFonts w:ascii="Times New Roman" w:eastAsia="仿宋_GB2312"/>
                <w:sz w:val="24"/>
                <w:szCs w:val="24"/>
              </w:rPr>
            </w:pPr>
          </w:p>
        </w:tc>
        <w:tc>
          <w:tcPr>
            <w:tcW w:w="2004" w:type="dxa"/>
            <w:gridSpan w:val="3"/>
            <w:vMerge/>
            <w:vAlign w:val="center"/>
          </w:tcPr>
          <w:p w14:paraId="0C7604A3" w14:textId="77777777" w:rsidR="005A6D7F" w:rsidRPr="005A6D7F" w:rsidRDefault="005A6D7F">
            <w:pPr>
              <w:pStyle w:val="affd"/>
              <w:rPr>
                <w:rFonts w:ascii="Times New Roman" w:eastAsia="仿宋_GB2312"/>
                <w:sz w:val="24"/>
                <w:szCs w:val="24"/>
              </w:rPr>
            </w:pPr>
          </w:p>
        </w:tc>
        <w:tc>
          <w:tcPr>
            <w:tcW w:w="2062" w:type="dxa"/>
            <w:gridSpan w:val="2"/>
            <w:tcBorders>
              <w:top w:val="single" w:sz="4" w:space="0" w:color="auto"/>
              <w:bottom w:val="single" w:sz="4" w:space="0" w:color="auto"/>
            </w:tcBorders>
            <w:vAlign w:val="center"/>
          </w:tcPr>
          <w:p w14:paraId="269C8927"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tcBorders>
              <w:top w:val="single" w:sz="4" w:space="0" w:color="auto"/>
              <w:bottom w:val="single" w:sz="4" w:space="0" w:color="auto"/>
            </w:tcBorders>
            <w:vAlign w:val="center"/>
          </w:tcPr>
          <w:p w14:paraId="5E466FE3"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vMerge/>
            <w:tcBorders>
              <w:bottom w:val="single" w:sz="4" w:space="0" w:color="auto"/>
            </w:tcBorders>
            <w:vAlign w:val="center"/>
          </w:tcPr>
          <w:p w14:paraId="4F3F45AF" w14:textId="77777777" w:rsidR="005A6D7F" w:rsidRPr="005A6D7F" w:rsidRDefault="005A6D7F">
            <w:pPr>
              <w:pStyle w:val="affd"/>
              <w:rPr>
                <w:rFonts w:ascii="Times New Roman" w:eastAsia="仿宋_GB2312"/>
                <w:sz w:val="24"/>
                <w:szCs w:val="24"/>
              </w:rPr>
            </w:pPr>
          </w:p>
        </w:tc>
      </w:tr>
      <w:tr w:rsidR="005A6D7F" w14:paraId="7C3B997A" w14:textId="77777777" w:rsidTr="00084192">
        <w:trPr>
          <w:trHeight w:val="283"/>
          <w:jc w:val="center"/>
        </w:trPr>
        <w:tc>
          <w:tcPr>
            <w:tcW w:w="398" w:type="dxa"/>
            <w:vMerge/>
            <w:vAlign w:val="center"/>
          </w:tcPr>
          <w:p w14:paraId="2FDB5B61" w14:textId="77777777" w:rsidR="005A6D7F" w:rsidRPr="005A6D7F" w:rsidRDefault="005A6D7F">
            <w:pPr>
              <w:pStyle w:val="affd"/>
              <w:rPr>
                <w:rFonts w:ascii="Times New Roman" w:eastAsia="仿宋_GB2312"/>
                <w:sz w:val="24"/>
                <w:szCs w:val="24"/>
              </w:rPr>
            </w:pPr>
          </w:p>
        </w:tc>
        <w:tc>
          <w:tcPr>
            <w:tcW w:w="1569" w:type="dxa"/>
            <w:vMerge/>
            <w:vAlign w:val="center"/>
          </w:tcPr>
          <w:p w14:paraId="0D4D5948" w14:textId="77777777" w:rsidR="005A6D7F" w:rsidRPr="005A6D7F" w:rsidRDefault="005A6D7F">
            <w:pPr>
              <w:pStyle w:val="affd"/>
              <w:rPr>
                <w:rFonts w:ascii="Times New Roman" w:eastAsia="仿宋_GB2312"/>
                <w:sz w:val="24"/>
                <w:szCs w:val="24"/>
              </w:rPr>
            </w:pPr>
          </w:p>
        </w:tc>
        <w:tc>
          <w:tcPr>
            <w:tcW w:w="709" w:type="dxa"/>
            <w:vMerge/>
            <w:vAlign w:val="center"/>
          </w:tcPr>
          <w:p w14:paraId="6B66C5BE" w14:textId="77777777" w:rsidR="005A6D7F" w:rsidRPr="005A6D7F" w:rsidRDefault="005A6D7F">
            <w:pPr>
              <w:pStyle w:val="affd"/>
              <w:rPr>
                <w:rFonts w:ascii="Times New Roman" w:eastAsia="仿宋_GB2312"/>
                <w:sz w:val="24"/>
                <w:szCs w:val="24"/>
              </w:rPr>
            </w:pPr>
          </w:p>
        </w:tc>
        <w:tc>
          <w:tcPr>
            <w:tcW w:w="4066" w:type="dxa"/>
            <w:gridSpan w:val="5"/>
            <w:vAlign w:val="center"/>
          </w:tcPr>
          <w:p w14:paraId="4CA06306"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炉膛过量空气系数</w:t>
            </w:r>
          </w:p>
        </w:tc>
        <w:tc>
          <w:tcPr>
            <w:tcW w:w="1462" w:type="dxa"/>
            <w:tcBorders>
              <w:top w:val="single" w:sz="4" w:space="0" w:color="auto"/>
              <w:bottom w:val="single" w:sz="4" w:space="0" w:color="auto"/>
            </w:tcBorders>
            <w:vAlign w:val="center"/>
          </w:tcPr>
          <w:p w14:paraId="4003C5A1"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tcBorders>
              <w:top w:val="single" w:sz="4" w:space="0" w:color="auto"/>
              <w:bottom w:val="single" w:sz="4" w:space="0" w:color="auto"/>
            </w:tcBorders>
            <w:vAlign w:val="center"/>
          </w:tcPr>
          <w:p w14:paraId="6BC19344" w14:textId="3A177EFA" w:rsidR="005A6D7F" w:rsidRPr="005A6D7F" w:rsidRDefault="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3A0CA73D" w14:textId="77777777" w:rsidTr="00084192">
        <w:trPr>
          <w:trHeight w:val="283"/>
          <w:jc w:val="center"/>
        </w:trPr>
        <w:tc>
          <w:tcPr>
            <w:tcW w:w="398" w:type="dxa"/>
            <w:vMerge/>
            <w:vAlign w:val="center"/>
          </w:tcPr>
          <w:p w14:paraId="157BCE3D" w14:textId="77777777" w:rsidR="005A6D7F" w:rsidRPr="005A6D7F" w:rsidRDefault="005A6D7F">
            <w:pPr>
              <w:pStyle w:val="affd"/>
              <w:rPr>
                <w:rFonts w:ascii="Times New Roman" w:eastAsia="仿宋_GB2312"/>
                <w:sz w:val="24"/>
                <w:szCs w:val="24"/>
              </w:rPr>
            </w:pPr>
          </w:p>
        </w:tc>
        <w:tc>
          <w:tcPr>
            <w:tcW w:w="1569" w:type="dxa"/>
            <w:vMerge/>
            <w:vAlign w:val="center"/>
          </w:tcPr>
          <w:p w14:paraId="49A3C9CF" w14:textId="77777777" w:rsidR="005A6D7F" w:rsidRPr="005A6D7F" w:rsidRDefault="005A6D7F">
            <w:pPr>
              <w:pStyle w:val="affd"/>
              <w:rPr>
                <w:rFonts w:ascii="Times New Roman" w:eastAsia="仿宋_GB2312"/>
                <w:sz w:val="24"/>
                <w:szCs w:val="24"/>
              </w:rPr>
            </w:pPr>
          </w:p>
        </w:tc>
        <w:tc>
          <w:tcPr>
            <w:tcW w:w="709" w:type="dxa"/>
            <w:vMerge/>
            <w:vAlign w:val="center"/>
          </w:tcPr>
          <w:p w14:paraId="2B81E743" w14:textId="77777777" w:rsidR="005A6D7F" w:rsidRPr="005A6D7F" w:rsidRDefault="005A6D7F">
            <w:pPr>
              <w:pStyle w:val="affd"/>
              <w:rPr>
                <w:rFonts w:ascii="Times New Roman" w:eastAsia="仿宋_GB2312"/>
                <w:sz w:val="24"/>
                <w:szCs w:val="24"/>
              </w:rPr>
            </w:pPr>
          </w:p>
        </w:tc>
        <w:tc>
          <w:tcPr>
            <w:tcW w:w="4066" w:type="dxa"/>
            <w:gridSpan w:val="5"/>
            <w:vAlign w:val="center"/>
          </w:tcPr>
          <w:p w14:paraId="3F75C406"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锅炉年可用小时数</w:t>
            </w:r>
          </w:p>
        </w:tc>
        <w:tc>
          <w:tcPr>
            <w:tcW w:w="1462" w:type="dxa"/>
            <w:tcBorders>
              <w:top w:val="single" w:sz="4" w:space="0" w:color="auto"/>
              <w:bottom w:val="single" w:sz="4" w:space="0" w:color="auto"/>
            </w:tcBorders>
            <w:vAlign w:val="center"/>
          </w:tcPr>
          <w:p w14:paraId="23EDF884"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h</w:t>
            </w:r>
          </w:p>
        </w:tc>
        <w:tc>
          <w:tcPr>
            <w:tcW w:w="717" w:type="dxa"/>
            <w:tcBorders>
              <w:top w:val="single" w:sz="4" w:space="0" w:color="auto"/>
              <w:bottom w:val="single" w:sz="4" w:space="0" w:color="auto"/>
            </w:tcBorders>
            <w:vAlign w:val="center"/>
          </w:tcPr>
          <w:p w14:paraId="7B63ADBA" w14:textId="53FD2FF6" w:rsidR="005A6D7F" w:rsidRPr="005A6D7F" w:rsidRDefault="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01C11FCD" w14:textId="77777777" w:rsidTr="00084192">
        <w:trPr>
          <w:trHeight w:val="142"/>
          <w:jc w:val="center"/>
        </w:trPr>
        <w:tc>
          <w:tcPr>
            <w:tcW w:w="398" w:type="dxa"/>
            <w:vMerge/>
            <w:vAlign w:val="center"/>
          </w:tcPr>
          <w:p w14:paraId="1278B3F1"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3B9BE3CA"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667EA1E9" w14:textId="77777777" w:rsidR="005A6D7F" w:rsidRPr="005A6D7F" w:rsidRDefault="005A6D7F" w:rsidP="005A6D7F">
            <w:pPr>
              <w:pStyle w:val="affd"/>
              <w:rPr>
                <w:rFonts w:ascii="Times New Roman" w:eastAsia="仿宋_GB2312"/>
                <w:sz w:val="24"/>
                <w:szCs w:val="24"/>
              </w:rPr>
            </w:pPr>
          </w:p>
        </w:tc>
        <w:tc>
          <w:tcPr>
            <w:tcW w:w="2033" w:type="dxa"/>
            <w:gridSpan w:val="4"/>
            <w:vMerge w:val="restart"/>
            <w:vAlign w:val="center"/>
          </w:tcPr>
          <w:p w14:paraId="1E58854B"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NOx</w:t>
            </w:r>
            <w:r w:rsidRPr="005A6D7F">
              <w:rPr>
                <w:rFonts w:ascii="Times New Roman" w:eastAsia="仿宋_GB2312"/>
                <w:sz w:val="24"/>
                <w:szCs w:val="24"/>
              </w:rPr>
              <w:t>初始排放浓度</w:t>
            </w:r>
          </w:p>
        </w:tc>
        <w:tc>
          <w:tcPr>
            <w:tcW w:w="2033" w:type="dxa"/>
            <w:vAlign w:val="center"/>
          </w:tcPr>
          <w:p w14:paraId="23164635" w14:textId="55D7F6CA"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层燃锅炉</w:t>
            </w:r>
          </w:p>
        </w:tc>
        <w:tc>
          <w:tcPr>
            <w:tcW w:w="1462" w:type="dxa"/>
            <w:vMerge w:val="restart"/>
            <w:tcBorders>
              <w:top w:val="single" w:sz="4" w:space="0" w:color="auto"/>
            </w:tcBorders>
            <w:vAlign w:val="center"/>
          </w:tcPr>
          <w:p w14:paraId="28901B93" w14:textId="7DD0473E"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Merge w:val="restart"/>
            <w:tcBorders>
              <w:top w:val="single" w:sz="4" w:space="0" w:color="auto"/>
            </w:tcBorders>
            <w:vAlign w:val="center"/>
          </w:tcPr>
          <w:p w14:paraId="3B7E9258" w14:textId="4223A2A5"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76BAE74F" w14:textId="77777777" w:rsidTr="00084192">
        <w:trPr>
          <w:trHeight w:val="141"/>
          <w:jc w:val="center"/>
        </w:trPr>
        <w:tc>
          <w:tcPr>
            <w:tcW w:w="398" w:type="dxa"/>
            <w:vMerge/>
            <w:vAlign w:val="center"/>
          </w:tcPr>
          <w:p w14:paraId="526E6757"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707F5915"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60896AB8" w14:textId="77777777" w:rsidR="005A6D7F" w:rsidRPr="005A6D7F" w:rsidRDefault="005A6D7F" w:rsidP="005A6D7F">
            <w:pPr>
              <w:pStyle w:val="affd"/>
              <w:rPr>
                <w:rFonts w:ascii="Times New Roman" w:eastAsia="仿宋_GB2312"/>
                <w:sz w:val="24"/>
                <w:szCs w:val="24"/>
              </w:rPr>
            </w:pPr>
          </w:p>
        </w:tc>
        <w:tc>
          <w:tcPr>
            <w:tcW w:w="2033" w:type="dxa"/>
            <w:gridSpan w:val="4"/>
            <w:vMerge/>
            <w:vAlign w:val="center"/>
          </w:tcPr>
          <w:p w14:paraId="12D00ADC" w14:textId="77777777" w:rsidR="005A6D7F" w:rsidRPr="005A6D7F" w:rsidRDefault="005A6D7F" w:rsidP="005A6D7F">
            <w:pPr>
              <w:pStyle w:val="affd"/>
              <w:rPr>
                <w:rFonts w:ascii="Times New Roman" w:eastAsia="仿宋_GB2312"/>
                <w:sz w:val="24"/>
                <w:szCs w:val="24"/>
              </w:rPr>
            </w:pPr>
          </w:p>
        </w:tc>
        <w:tc>
          <w:tcPr>
            <w:tcW w:w="2033" w:type="dxa"/>
            <w:vAlign w:val="center"/>
          </w:tcPr>
          <w:p w14:paraId="523D509E" w14:textId="59238BD5"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流化床锅炉、</w:t>
            </w:r>
            <w:proofErr w:type="gramStart"/>
            <w:r w:rsidRPr="005A6D7F">
              <w:rPr>
                <w:rFonts w:ascii="Times New Roman" w:eastAsia="仿宋_GB2312"/>
                <w:sz w:val="24"/>
                <w:szCs w:val="24"/>
              </w:rPr>
              <w:t>室燃锅炉</w:t>
            </w:r>
            <w:proofErr w:type="gramEnd"/>
          </w:p>
        </w:tc>
        <w:tc>
          <w:tcPr>
            <w:tcW w:w="1462" w:type="dxa"/>
            <w:vMerge/>
            <w:tcBorders>
              <w:bottom w:val="single" w:sz="4" w:space="0" w:color="auto"/>
            </w:tcBorders>
            <w:vAlign w:val="center"/>
          </w:tcPr>
          <w:p w14:paraId="154AAE2B" w14:textId="77777777" w:rsidR="005A6D7F" w:rsidRPr="005A6D7F" w:rsidRDefault="005A6D7F" w:rsidP="005A6D7F">
            <w:pPr>
              <w:pStyle w:val="affd"/>
              <w:rPr>
                <w:rFonts w:ascii="Times New Roman" w:eastAsia="仿宋_GB2312"/>
                <w:sz w:val="24"/>
                <w:szCs w:val="24"/>
              </w:rPr>
            </w:pPr>
          </w:p>
        </w:tc>
        <w:tc>
          <w:tcPr>
            <w:tcW w:w="717" w:type="dxa"/>
            <w:vMerge/>
            <w:tcBorders>
              <w:bottom w:val="single" w:sz="4" w:space="0" w:color="auto"/>
            </w:tcBorders>
            <w:vAlign w:val="center"/>
          </w:tcPr>
          <w:p w14:paraId="6D086941" w14:textId="77777777" w:rsidR="005A6D7F" w:rsidRPr="005A6D7F" w:rsidRDefault="005A6D7F" w:rsidP="005A6D7F">
            <w:pPr>
              <w:pStyle w:val="affd"/>
              <w:rPr>
                <w:rFonts w:ascii="Times New Roman" w:eastAsia="仿宋_GB2312"/>
                <w:sz w:val="24"/>
                <w:szCs w:val="24"/>
              </w:rPr>
            </w:pPr>
          </w:p>
        </w:tc>
      </w:tr>
      <w:tr w:rsidR="005A6D7F" w14:paraId="79485C03" w14:textId="77777777" w:rsidTr="00084192">
        <w:trPr>
          <w:trHeight w:val="141"/>
          <w:jc w:val="center"/>
        </w:trPr>
        <w:tc>
          <w:tcPr>
            <w:tcW w:w="398" w:type="dxa"/>
            <w:vMerge/>
            <w:vAlign w:val="center"/>
          </w:tcPr>
          <w:p w14:paraId="28511758"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49F95AB1"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7E191C54" w14:textId="77777777" w:rsidR="005A6D7F" w:rsidRPr="005A6D7F" w:rsidRDefault="005A6D7F" w:rsidP="005A6D7F">
            <w:pPr>
              <w:pStyle w:val="affd"/>
              <w:rPr>
                <w:rFonts w:ascii="Times New Roman" w:eastAsia="仿宋_GB2312"/>
                <w:sz w:val="24"/>
                <w:szCs w:val="24"/>
              </w:rPr>
            </w:pPr>
          </w:p>
        </w:tc>
        <w:tc>
          <w:tcPr>
            <w:tcW w:w="2033" w:type="dxa"/>
            <w:gridSpan w:val="4"/>
            <w:vMerge w:val="restart"/>
            <w:vAlign w:val="center"/>
          </w:tcPr>
          <w:p w14:paraId="2460AF2A" w14:textId="336272FE"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烟尘初始排放浓度</w:t>
            </w:r>
          </w:p>
        </w:tc>
        <w:tc>
          <w:tcPr>
            <w:tcW w:w="2033" w:type="dxa"/>
            <w:vAlign w:val="center"/>
          </w:tcPr>
          <w:p w14:paraId="2C2CA06C" w14:textId="5BF6184D"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层燃锅炉</w:t>
            </w:r>
          </w:p>
        </w:tc>
        <w:tc>
          <w:tcPr>
            <w:tcW w:w="1462" w:type="dxa"/>
            <w:vMerge w:val="restart"/>
            <w:vAlign w:val="center"/>
          </w:tcPr>
          <w:p w14:paraId="4713119F" w14:textId="46AF22B1"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Merge w:val="restart"/>
            <w:vAlign w:val="center"/>
          </w:tcPr>
          <w:p w14:paraId="4197D80E" w14:textId="4AAD8876"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5D44C7DC" w14:textId="77777777" w:rsidTr="00084192">
        <w:trPr>
          <w:trHeight w:val="141"/>
          <w:jc w:val="center"/>
        </w:trPr>
        <w:tc>
          <w:tcPr>
            <w:tcW w:w="398" w:type="dxa"/>
            <w:vMerge/>
            <w:vAlign w:val="center"/>
          </w:tcPr>
          <w:p w14:paraId="3C5D6A11"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66BAD43B"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286CD545" w14:textId="77777777" w:rsidR="005A6D7F" w:rsidRPr="005A6D7F" w:rsidRDefault="005A6D7F" w:rsidP="005A6D7F">
            <w:pPr>
              <w:pStyle w:val="affd"/>
              <w:rPr>
                <w:rFonts w:ascii="Times New Roman" w:eastAsia="仿宋_GB2312"/>
                <w:sz w:val="24"/>
                <w:szCs w:val="24"/>
              </w:rPr>
            </w:pPr>
          </w:p>
        </w:tc>
        <w:tc>
          <w:tcPr>
            <w:tcW w:w="2033" w:type="dxa"/>
            <w:gridSpan w:val="4"/>
            <w:vMerge/>
            <w:vAlign w:val="center"/>
          </w:tcPr>
          <w:p w14:paraId="723E78E0" w14:textId="77777777" w:rsidR="005A6D7F" w:rsidRPr="005A6D7F" w:rsidRDefault="005A6D7F" w:rsidP="005A6D7F">
            <w:pPr>
              <w:pStyle w:val="affd"/>
              <w:rPr>
                <w:rFonts w:ascii="Times New Roman" w:eastAsia="仿宋_GB2312"/>
                <w:sz w:val="24"/>
                <w:szCs w:val="24"/>
              </w:rPr>
            </w:pPr>
          </w:p>
        </w:tc>
        <w:tc>
          <w:tcPr>
            <w:tcW w:w="2033" w:type="dxa"/>
            <w:vAlign w:val="center"/>
          </w:tcPr>
          <w:p w14:paraId="61B02E25" w14:textId="0B0F27CE"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流化床锅炉、</w:t>
            </w:r>
            <w:proofErr w:type="gramStart"/>
            <w:r w:rsidRPr="005A6D7F">
              <w:rPr>
                <w:rFonts w:ascii="Times New Roman" w:eastAsia="仿宋_GB2312"/>
                <w:sz w:val="24"/>
                <w:szCs w:val="24"/>
              </w:rPr>
              <w:t>室燃锅炉</w:t>
            </w:r>
            <w:proofErr w:type="gramEnd"/>
          </w:p>
        </w:tc>
        <w:tc>
          <w:tcPr>
            <w:tcW w:w="1462" w:type="dxa"/>
            <w:vMerge/>
            <w:tcBorders>
              <w:bottom w:val="single" w:sz="4" w:space="0" w:color="auto"/>
            </w:tcBorders>
            <w:vAlign w:val="center"/>
          </w:tcPr>
          <w:p w14:paraId="3EE73C8D" w14:textId="77777777" w:rsidR="005A6D7F" w:rsidRPr="005A6D7F" w:rsidRDefault="005A6D7F" w:rsidP="005A6D7F">
            <w:pPr>
              <w:pStyle w:val="affd"/>
              <w:rPr>
                <w:rFonts w:ascii="Times New Roman" w:eastAsia="仿宋_GB2312"/>
                <w:sz w:val="24"/>
                <w:szCs w:val="24"/>
              </w:rPr>
            </w:pPr>
          </w:p>
        </w:tc>
        <w:tc>
          <w:tcPr>
            <w:tcW w:w="717" w:type="dxa"/>
            <w:vMerge/>
            <w:tcBorders>
              <w:bottom w:val="single" w:sz="4" w:space="0" w:color="auto"/>
            </w:tcBorders>
            <w:vAlign w:val="center"/>
          </w:tcPr>
          <w:p w14:paraId="480AB168" w14:textId="77777777" w:rsidR="005A6D7F" w:rsidRPr="005A6D7F" w:rsidRDefault="005A6D7F" w:rsidP="005A6D7F">
            <w:pPr>
              <w:pStyle w:val="affd"/>
              <w:rPr>
                <w:rFonts w:ascii="Times New Roman" w:eastAsia="仿宋_GB2312"/>
                <w:sz w:val="24"/>
                <w:szCs w:val="24"/>
              </w:rPr>
            </w:pPr>
          </w:p>
        </w:tc>
      </w:tr>
      <w:tr w:rsidR="005A6D7F" w14:paraId="73E31BBE" w14:textId="77777777" w:rsidTr="00084192">
        <w:trPr>
          <w:trHeight w:val="95"/>
          <w:jc w:val="center"/>
        </w:trPr>
        <w:tc>
          <w:tcPr>
            <w:tcW w:w="398" w:type="dxa"/>
            <w:vMerge/>
            <w:vAlign w:val="center"/>
          </w:tcPr>
          <w:p w14:paraId="46507ECC"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191D2823"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0E9979E5" w14:textId="77777777" w:rsidR="005A6D7F" w:rsidRPr="005A6D7F" w:rsidRDefault="005A6D7F" w:rsidP="005A6D7F">
            <w:pPr>
              <w:pStyle w:val="affd"/>
              <w:rPr>
                <w:rFonts w:ascii="Times New Roman" w:eastAsia="仿宋_GB2312"/>
                <w:sz w:val="24"/>
                <w:szCs w:val="24"/>
              </w:rPr>
            </w:pPr>
          </w:p>
        </w:tc>
        <w:tc>
          <w:tcPr>
            <w:tcW w:w="2033" w:type="dxa"/>
            <w:gridSpan w:val="4"/>
            <w:vMerge w:val="restart"/>
            <w:vAlign w:val="center"/>
          </w:tcPr>
          <w:p w14:paraId="30E5FBFE" w14:textId="0732210C"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烟气净化装置</w:t>
            </w:r>
          </w:p>
        </w:tc>
        <w:tc>
          <w:tcPr>
            <w:tcW w:w="2033" w:type="dxa"/>
          </w:tcPr>
          <w:p w14:paraId="020102CA" w14:textId="2EBF914E"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脱酸</w:t>
            </w:r>
          </w:p>
        </w:tc>
        <w:tc>
          <w:tcPr>
            <w:tcW w:w="1462" w:type="dxa"/>
            <w:vMerge w:val="restart"/>
            <w:vAlign w:val="center"/>
          </w:tcPr>
          <w:p w14:paraId="7BD4A5BE" w14:textId="00718758"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tcPr>
          <w:p w14:paraId="27E76A3B" w14:textId="533906E6"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0.05</w:t>
            </w:r>
          </w:p>
        </w:tc>
      </w:tr>
      <w:tr w:rsidR="005A6D7F" w14:paraId="0DBB9B83" w14:textId="77777777" w:rsidTr="00084192">
        <w:trPr>
          <w:trHeight w:val="94"/>
          <w:jc w:val="center"/>
        </w:trPr>
        <w:tc>
          <w:tcPr>
            <w:tcW w:w="398" w:type="dxa"/>
            <w:vMerge/>
            <w:vAlign w:val="center"/>
          </w:tcPr>
          <w:p w14:paraId="306D998B"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77A84774"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0DCA24CE" w14:textId="77777777" w:rsidR="005A6D7F" w:rsidRPr="005A6D7F" w:rsidRDefault="005A6D7F" w:rsidP="005A6D7F">
            <w:pPr>
              <w:pStyle w:val="affd"/>
              <w:rPr>
                <w:rFonts w:ascii="Times New Roman" w:eastAsia="仿宋_GB2312"/>
                <w:sz w:val="24"/>
                <w:szCs w:val="24"/>
              </w:rPr>
            </w:pPr>
          </w:p>
        </w:tc>
        <w:tc>
          <w:tcPr>
            <w:tcW w:w="2033" w:type="dxa"/>
            <w:gridSpan w:val="4"/>
            <w:vMerge/>
            <w:vAlign w:val="center"/>
          </w:tcPr>
          <w:p w14:paraId="1EF2A976" w14:textId="77777777" w:rsidR="005A6D7F" w:rsidRPr="005A6D7F" w:rsidRDefault="005A6D7F" w:rsidP="005A6D7F">
            <w:pPr>
              <w:pStyle w:val="affd"/>
              <w:rPr>
                <w:rFonts w:ascii="Times New Roman" w:eastAsia="仿宋_GB2312"/>
                <w:sz w:val="24"/>
                <w:szCs w:val="24"/>
              </w:rPr>
            </w:pPr>
          </w:p>
        </w:tc>
        <w:tc>
          <w:tcPr>
            <w:tcW w:w="2033" w:type="dxa"/>
          </w:tcPr>
          <w:p w14:paraId="5E5BD74D" w14:textId="06361875"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脱硝</w:t>
            </w:r>
          </w:p>
        </w:tc>
        <w:tc>
          <w:tcPr>
            <w:tcW w:w="1462" w:type="dxa"/>
            <w:vMerge/>
            <w:vAlign w:val="center"/>
          </w:tcPr>
          <w:p w14:paraId="045F9119" w14:textId="77777777" w:rsidR="005A6D7F" w:rsidRPr="005A6D7F" w:rsidRDefault="005A6D7F" w:rsidP="005A6D7F">
            <w:pPr>
              <w:pStyle w:val="affd"/>
              <w:rPr>
                <w:rFonts w:ascii="Times New Roman" w:eastAsia="仿宋_GB2312"/>
                <w:sz w:val="24"/>
                <w:szCs w:val="24"/>
              </w:rPr>
            </w:pPr>
          </w:p>
        </w:tc>
        <w:tc>
          <w:tcPr>
            <w:tcW w:w="717" w:type="dxa"/>
          </w:tcPr>
          <w:p w14:paraId="614E23AD" w14:textId="4DCA8BE8"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0.10</w:t>
            </w:r>
          </w:p>
        </w:tc>
      </w:tr>
      <w:tr w:rsidR="005A6D7F" w14:paraId="6E04D68D" w14:textId="77777777" w:rsidTr="00084192">
        <w:trPr>
          <w:trHeight w:val="94"/>
          <w:jc w:val="center"/>
        </w:trPr>
        <w:tc>
          <w:tcPr>
            <w:tcW w:w="398" w:type="dxa"/>
            <w:vMerge/>
            <w:vAlign w:val="center"/>
          </w:tcPr>
          <w:p w14:paraId="7149A723"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319DCC8C"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0DBCE0D1" w14:textId="77777777" w:rsidR="005A6D7F" w:rsidRPr="005A6D7F" w:rsidRDefault="005A6D7F" w:rsidP="005A6D7F">
            <w:pPr>
              <w:pStyle w:val="affd"/>
              <w:rPr>
                <w:rFonts w:ascii="Times New Roman" w:eastAsia="仿宋_GB2312"/>
                <w:sz w:val="24"/>
                <w:szCs w:val="24"/>
              </w:rPr>
            </w:pPr>
          </w:p>
        </w:tc>
        <w:tc>
          <w:tcPr>
            <w:tcW w:w="2033" w:type="dxa"/>
            <w:gridSpan w:val="4"/>
            <w:vMerge/>
            <w:vAlign w:val="center"/>
          </w:tcPr>
          <w:p w14:paraId="2209701E" w14:textId="77777777" w:rsidR="005A6D7F" w:rsidRPr="005A6D7F" w:rsidRDefault="005A6D7F" w:rsidP="005A6D7F">
            <w:pPr>
              <w:pStyle w:val="affd"/>
              <w:rPr>
                <w:rFonts w:ascii="Times New Roman" w:eastAsia="仿宋_GB2312"/>
                <w:sz w:val="24"/>
                <w:szCs w:val="24"/>
              </w:rPr>
            </w:pPr>
          </w:p>
        </w:tc>
        <w:tc>
          <w:tcPr>
            <w:tcW w:w="2033" w:type="dxa"/>
          </w:tcPr>
          <w:p w14:paraId="5F1EFF98" w14:textId="6455000B"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除尘</w:t>
            </w:r>
          </w:p>
        </w:tc>
        <w:tc>
          <w:tcPr>
            <w:tcW w:w="1462" w:type="dxa"/>
            <w:vMerge/>
            <w:tcBorders>
              <w:bottom w:val="single" w:sz="4" w:space="0" w:color="auto"/>
            </w:tcBorders>
            <w:vAlign w:val="center"/>
          </w:tcPr>
          <w:p w14:paraId="43405C1C" w14:textId="77777777" w:rsidR="005A6D7F" w:rsidRPr="005A6D7F" w:rsidRDefault="005A6D7F" w:rsidP="005A6D7F">
            <w:pPr>
              <w:pStyle w:val="affd"/>
              <w:rPr>
                <w:rFonts w:ascii="Times New Roman" w:eastAsia="仿宋_GB2312"/>
                <w:sz w:val="24"/>
                <w:szCs w:val="24"/>
              </w:rPr>
            </w:pPr>
          </w:p>
        </w:tc>
        <w:tc>
          <w:tcPr>
            <w:tcW w:w="717" w:type="dxa"/>
            <w:tcBorders>
              <w:bottom w:val="single" w:sz="4" w:space="0" w:color="auto"/>
            </w:tcBorders>
          </w:tcPr>
          <w:p w14:paraId="171A7B9C" w14:textId="6E6621C3"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0.10</w:t>
            </w:r>
          </w:p>
        </w:tc>
      </w:tr>
      <w:tr w:rsidR="005A6D7F" w14:paraId="03B2E095" w14:textId="77777777" w:rsidTr="00084192">
        <w:trPr>
          <w:trHeight w:val="94"/>
          <w:jc w:val="center"/>
        </w:trPr>
        <w:tc>
          <w:tcPr>
            <w:tcW w:w="398" w:type="dxa"/>
            <w:vMerge/>
            <w:vAlign w:val="center"/>
          </w:tcPr>
          <w:p w14:paraId="56E39BDA"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74DEF12E"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27D75CA3" w14:textId="77777777" w:rsidR="005A6D7F" w:rsidRPr="005A6D7F" w:rsidRDefault="005A6D7F" w:rsidP="005A6D7F">
            <w:pPr>
              <w:pStyle w:val="affd"/>
              <w:rPr>
                <w:rFonts w:ascii="Times New Roman" w:eastAsia="仿宋_GB2312"/>
                <w:sz w:val="24"/>
                <w:szCs w:val="24"/>
              </w:rPr>
            </w:pPr>
          </w:p>
        </w:tc>
        <w:tc>
          <w:tcPr>
            <w:tcW w:w="2033" w:type="dxa"/>
            <w:gridSpan w:val="4"/>
            <w:vMerge w:val="restart"/>
            <w:vAlign w:val="center"/>
          </w:tcPr>
          <w:p w14:paraId="0C09947D" w14:textId="6EF8A1A0"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在线监测系统</w:t>
            </w:r>
          </w:p>
        </w:tc>
        <w:tc>
          <w:tcPr>
            <w:tcW w:w="2033" w:type="dxa"/>
          </w:tcPr>
          <w:p w14:paraId="66922685" w14:textId="11EBA14F"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烟气监测</w:t>
            </w:r>
          </w:p>
        </w:tc>
        <w:tc>
          <w:tcPr>
            <w:tcW w:w="1462" w:type="dxa"/>
            <w:tcBorders>
              <w:bottom w:val="single" w:sz="4" w:space="0" w:color="auto"/>
            </w:tcBorders>
            <w:vAlign w:val="center"/>
          </w:tcPr>
          <w:p w14:paraId="0FDCB57B" w14:textId="77777777" w:rsidR="005A6D7F" w:rsidRPr="005A6D7F" w:rsidRDefault="005A6D7F" w:rsidP="005A6D7F">
            <w:pPr>
              <w:pStyle w:val="affd"/>
              <w:rPr>
                <w:rFonts w:ascii="Times New Roman" w:eastAsia="仿宋_GB2312"/>
                <w:sz w:val="24"/>
                <w:szCs w:val="24"/>
              </w:rPr>
            </w:pPr>
          </w:p>
        </w:tc>
        <w:tc>
          <w:tcPr>
            <w:tcW w:w="717" w:type="dxa"/>
            <w:tcBorders>
              <w:bottom w:val="single" w:sz="4" w:space="0" w:color="auto"/>
            </w:tcBorders>
          </w:tcPr>
          <w:p w14:paraId="212AD826" w14:textId="0B0F4C25"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0.10</w:t>
            </w:r>
          </w:p>
        </w:tc>
      </w:tr>
      <w:tr w:rsidR="005A6D7F" w14:paraId="22F49651" w14:textId="77777777" w:rsidTr="00084192">
        <w:trPr>
          <w:trHeight w:val="94"/>
          <w:jc w:val="center"/>
        </w:trPr>
        <w:tc>
          <w:tcPr>
            <w:tcW w:w="398" w:type="dxa"/>
            <w:vMerge/>
            <w:vAlign w:val="center"/>
          </w:tcPr>
          <w:p w14:paraId="7E2A04DB"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2D094B28"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58951246" w14:textId="77777777" w:rsidR="005A6D7F" w:rsidRPr="005A6D7F" w:rsidRDefault="005A6D7F" w:rsidP="005A6D7F">
            <w:pPr>
              <w:pStyle w:val="affd"/>
              <w:rPr>
                <w:rFonts w:ascii="Times New Roman" w:eastAsia="仿宋_GB2312"/>
                <w:sz w:val="24"/>
                <w:szCs w:val="24"/>
              </w:rPr>
            </w:pPr>
          </w:p>
        </w:tc>
        <w:tc>
          <w:tcPr>
            <w:tcW w:w="2033" w:type="dxa"/>
            <w:gridSpan w:val="4"/>
            <w:vMerge/>
            <w:vAlign w:val="center"/>
          </w:tcPr>
          <w:p w14:paraId="69EAF1FA" w14:textId="77777777" w:rsidR="005A6D7F" w:rsidRPr="005A6D7F" w:rsidRDefault="005A6D7F" w:rsidP="005A6D7F">
            <w:pPr>
              <w:pStyle w:val="affd"/>
              <w:rPr>
                <w:rFonts w:ascii="Times New Roman" w:eastAsia="仿宋_GB2312"/>
                <w:sz w:val="24"/>
                <w:szCs w:val="24"/>
              </w:rPr>
            </w:pPr>
          </w:p>
        </w:tc>
        <w:tc>
          <w:tcPr>
            <w:tcW w:w="2033" w:type="dxa"/>
          </w:tcPr>
          <w:p w14:paraId="7551E8E5" w14:textId="17981471"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系统校准</w:t>
            </w:r>
          </w:p>
        </w:tc>
        <w:tc>
          <w:tcPr>
            <w:tcW w:w="1462" w:type="dxa"/>
            <w:tcBorders>
              <w:bottom w:val="single" w:sz="4" w:space="0" w:color="auto"/>
            </w:tcBorders>
            <w:vAlign w:val="center"/>
          </w:tcPr>
          <w:p w14:paraId="62609AAA" w14:textId="77777777" w:rsidR="005A6D7F" w:rsidRPr="005A6D7F" w:rsidRDefault="005A6D7F" w:rsidP="005A6D7F">
            <w:pPr>
              <w:pStyle w:val="affd"/>
              <w:rPr>
                <w:rFonts w:ascii="Times New Roman" w:eastAsia="仿宋_GB2312"/>
                <w:sz w:val="24"/>
                <w:szCs w:val="24"/>
              </w:rPr>
            </w:pPr>
          </w:p>
        </w:tc>
        <w:tc>
          <w:tcPr>
            <w:tcW w:w="717" w:type="dxa"/>
            <w:tcBorders>
              <w:bottom w:val="single" w:sz="4" w:space="0" w:color="auto"/>
            </w:tcBorders>
          </w:tcPr>
          <w:p w14:paraId="2F1A672B" w14:textId="64E8CBB4"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0.10</w:t>
            </w:r>
          </w:p>
        </w:tc>
      </w:tr>
      <w:tr w:rsidR="005A6D7F" w14:paraId="6A73AC8F" w14:textId="77777777" w:rsidTr="00084192">
        <w:trPr>
          <w:trHeight w:val="283"/>
          <w:jc w:val="center"/>
        </w:trPr>
        <w:tc>
          <w:tcPr>
            <w:tcW w:w="398" w:type="dxa"/>
            <w:vMerge/>
            <w:vAlign w:val="center"/>
          </w:tcPr>
          <w:p w14:paraId="68EDA92D" w14:textId="77777777" w:rsidR="005A6D7F" w:rsidRPr="005A6D7F" w:rsidRDefault="005A6D7F">
            <w:pPr>
              <w:pStyle w:val="affd"/>
              <w:rPr>
                <w:rFonts w:ascii="Times New Roman" w:eastAsia="仿宋_GB2312"/>
                <w:sz w:val="24"/>
                <w:szCs w:val="24"/>
              </w:rPr>
            </w:pPr>
          </w:p>
        </w:tc>
        <w:tc>
          <w:tcPr>
            <w:tcW w:w="1569" w:type="dxa"/>
            <w:vMerge/>
            <w:vAlign w:val="center"/>
          </w:tcPr>
          <w:p w14:paraId="00801BEA" w14:textId="77777777" w:rsidR="005A6D7F" w:rsidRPr="005A6D7F" w:rsidRDefault="005A6D7F">
            <w:pPr>
              <w:pStyle w:val="affd"/>
              <w:rPr>
                <w:rFonts w:ascii="Times New Roman" w:eastAsia="仿宋_GB2312"/>
                <w:sz w:val="24"/>
                <w:szCs w:val="24"/>
              </w:rPr>
            </w:pPr>
          </w:p>
        </w:tc>
        <w:tc>
          <w:tcPr>
            <w:tcW w:w="709" w:type="dxa"/>
            <w:vMerge/>
            <w:vAlign w:val="center"/>
          </w:tcPr>
          <w:p w14:paraId="4DBB8E17" w14:textId="77777777" w:rsidR="005A6D7F" w:rsidRPr="005A6D7F" w:rsidRDefault="005A6D7F">
            <w:pPr>
              <w:pStyle w:val="affd"/>
              <w:rPr>
                <w:rFonts w:ascii="Times New Roman" w:eastAsia="仿宋_GB2312"/>
                <w:sz w:val="24"/>
                <w:szCs w:val="24"/>
              </w:rPr>
            </w:pPr>
          </w:p>
        </w:tc>
        <w:tc>
          <w:tcPr>
            <w:tcW w:w="4066" w:type="dxa"/>
            <w:gridSpan w:val="5"/>
            <w:vAlign w:val="center"/>
          </w:tcPr>
          <w:p w14:paraId="4BB42892"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设备自动化</w:t>
            </w:r>
          </w:p>
        </w:tc>
        <w:tc>
          <w:tcPr>
            <w:tcW w:w="1462" w:type="dxa"/>
            <w:tcBorders>
              <w:top w:val="single" w:sz="4" w:space="0" w:color="auto"/>
              <w:bottom w:val="single" w:sz="4" w:space="0" w:color="auto"/>
            </w:tcBorders>
            <w:vAlign w:val="center"/>
          </w:tcPr>
          <w:p w14:paraId="59853AA2"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w:t>
            </w:r>
          </w:p>
        </w:tc>
        <w:tc>
          <w:tcPr>
            <w:tcW w:w="717" w:type="dxa"/>
            <w:tcBorders>
              <w:top w:val="single" w:sz="4" w:space="0" w:color="auto"/>
              <w:bottom w:val="single" w:sz="4" w:space="0" w:color="auto"/>
            </w:tcBorders>
            <w:vAlign w:val="center"/>
          </w:tcPr>
          <w:p w14:paraId="672751A2" w14:textId="77777777" w:rsidR="005A6D7F" w:rsidRPr="005A6D7F" w:rsidRDefault="005A6D7F">
            <w:pPr>
              <w:pStyle w:val="affd"/>
              <w:rPr>
                <w:rFonts w:ascii="Times New Roman" w:eastAsia="仿宋_GB2312"/>
                <w:sz w:val="24"/>
                <w:szCs w:val="24"/>
              </w:rPr>
            </w:pPr>
            <w:r w:rsidRPr="005A6D7F">
              <w:rPr>
                <w:rFonts w:ascii="Times New Roman" w:eastAsia="仿宋_GB2312"/>
                <w:sz w:val="24"/>
                <w:szCs w:val="24"/>
              </w:rPr>
              <w:t>0.10</w:t>
            </w:r>
          </w:p>
        </w:tc>
      </w:tr>
      <w:tr w:rsidR="005A6D7F" w14:paraId="5CB4C61B" w14:textId="77777777" w:rsidTr="00084192">
        <w:trPr>
          <w:trHeight w:val="808"/>
          <w:jc w:val="center"/>
        </w:trPr>
        <w:tc>
          <w:tcPr>
            <w:tcW w:w="398" w:type="dxa"/>
            <w:vMerge w:val="restart"/>
            <w:vAlign w:val="center"/>
          </w:tcPr>
          <w:p w14:paraId="1F2170B9"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2</w:t>
            </w:r>
          </w:p>
        </w:tc>
        <w:tc>
          <w:tcPr>
            <w:tcW w:w="1569" w:type="dxa"/>
            <w:vMerge w:val="restart"/>
            <w:vAlign w:val="center"/>
          </w:tcPr>
          <w:p w14:paraId="60EE1D0E" w14:textId="47450BB1"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综合能效</w:t>
            </w:r>
          </w:p>
        </w:tc>
        <w:tc>
          <w:tcPr>
            <w:tcW w:w="709" w:type="dxa"/>
            <w:vMerge w:val="restart"/>
            <w:vAlign w:val="center"/>
          </w:tcPr>
          <w:p w14:paraId="29DD969A"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0.05</w:t>
            </w:r>
          </w:p>
        </w:tc>
        <w:tc>
          <w:tcPr>
            <w:tcW w:w="4066" w:type="dxa"/>
            <w:gridSpan w:val="5"/>
            <w:tcBorders>
              <w:top w:val="single" w:sz="4" w:space="0" w:color="auto"/>
              <w:bottom w:val="nil"/>
            </w:tcBorders>
            <w:vAlign w:val="center"/>
          </w:tcPr>
          <w:p w14:paraId="29F71409" w14:textId="1E8CF70C" w:rsidR="005A6D7F" w:rsidRPr="005A6D7F" w:rsidRDefault="005A6D7F" w:rsidP="005A6D7F">
            <w:pPr>
              <w:pStyle w:val="affd"/>
              <w:jc w:val="both"/>
              <w:rPr>
                <w:rFonts w:ascii="Times New Roman" w:eastAsia="仿宋_GB2312"/>
                <w:sz w:val="24"/>
                <w:szCs w:val="24"/>
              </w:rPr>
            </w:pPr>
            <w:r w:rsidRPr="005A6D7F">
              <w:rPr>
                <w:rFonts w:ascii="Times New Roman" w:eastAsia="仿宋_GB2312"/>
                <w:sz w:val="24"/>
                <w:szCs w:val="24"/>
              </w:rPr>
              <w:t>电耗计量与节电管理</w:t>
            </w:r>
          </w:p>
        </w:tc>
        <w:tc>
          <w:tcPr>
            <w:tcW w:w="1462" w:type="dxa"/>
            <w:tcBorders>
              <w:top w:val="single" w:sz="4" w:space="0" w:color="auto"/>
            </w:tcBorders>
            <w:vAlign w:val="center"/>
          </w:tcPr>
          <w:p w14:paraId="06C8576B" w14:textId="4D03835E"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tcBorders>
              <w:top w:val="single" w:sz="4" w:space="0" w:color="auto"/>
            </w:tcBorders>
            <w:vAlign w:val="center"/>
          </w:tcPr>
          <w:p w14:paraId="4ECE558C"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0.50</w:t>
            </w:r>
          </w:p>
        </w:tc>
      </w:tr>
      <w:tr w:rsidR="005A6D7F" w14:paraId="770A9073" w14:textId="77777777" w:rsidTr="005A6D7F">
        <w:trPr>
          <w:trHeight w:val="471"/>
          <w:jc w:val="center"/>
        </w:trPr>
        <w:tc>
          <w:tcPr>
            <w:tcW w:w="398" w:type="dxa"/>
            <w:vMerge/>
            <w:vAlign w:val="center"/>
          </w:tcPr>
          <w:p w14:paraId="1E20E961"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6FA5F378"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4C7A3C80" w14:textId="77777777" w:rsidR="005A6D7F" w:rsidRPr="005A6D7F" w:rsidRDefault="005A6D7F" w:rsidP="005A6D7F">
            <w:pPr>
              <w:pStyle w:val="affd"/>
              <w:rPr>
                <w:rFonts w:ascii="Times New Roman" w:eastAsia="仿宋_GB2312"/>
                <w:sz w:val="24"/>
                <w:szCs w:val="24"/>
              </w:rPr>
            </w:pPr>
          </w:p>
        </w:tc>
        <w:tc>
          <w:tcPr>
            <w:tcW w:w="4066" w:type="dxa"/>
            <w:gridSpan w:val="5"/>
            <w:vAlign w:val="center"/>
          </w:tcPr>
          <w:p w14:paraId="086FE8B9" w14:textId="72D7816C"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辅机与尾部治理系统能效匹配</w:t>
            </w:r>
          </w:p>
        </w:tc>
        <w:tc>
          <w:tcPr>
            <w:tcW w:w="1462" w:type="dxa"/>
            <w:vAlign w:val="center"/>
          </w:tcPr>
          <w:p w14:paraId="483FBC1A" w14:textId="3F6D0F6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50200271"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0.50</w:t>
            </w:r>
          </w:p>
        </w:tc>
      </w:tr>
      <w:tr w:rsidR="005A6D7F" w14:paraId="334DA378" w14:textId="77777777" w:rsidTr="00084192">
        <w:trPr>
          <w:trHeight w:val="142"/>
          <w:jc w:val="center"/>
        </w:trPr>
        <w:tc>
          <w:tcPr>
            <w:tcW w:w="398" w:type="dxa"/>
            <w:vMerge w:val="restart"/>
            <w:vAlign w:val="center"/>
          </w:tcPr>
          <w:p w14:paraId="6B547F17"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3</w:t>
            </w:r>
          </w:p>
        </w:tc>
        <w:tc>
          <w:tcPr>
            <w:tcW w:w="1569" w:type="dxa"/>
            <w:vMerge w:val="restart"/>
            <w:vAlign w:val="center"/>
          </w:tcPr>
          <w:p w14:paraId="239C842D"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水资源消耗</w:t>
            </w:r>
          </w:p>
        </w:tc>
        <w:tc>
          <w:tcPr>
            <w:tcW w:w="709" w:type="dxa"/>
            <w:vMerge w:val="restart"/>
            <w:vAlign w:val="center"/>
          </w:tcPr>
          <w:p w14:paraId="46877EB3"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0.05</w:t>
            </w:r>
          </w:p>
        </w:tc>
        <w:tc>
          <w:tcPr>
            <w:tcW w:w="4066" w:type="dxa"/>
            <w:gridSpan w:val="5"/>
          </w:tcPr>
          <w:p w14:paraId="57147663" w14:textId="623C8D82"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取水计量与节水管理</w:t>
            </w:r>
          </w:p>
        </w:tc>
        <w:tc>
          <w:tcPr>
            <w:tcW w:w="1462" w:type="dxa"/>
            <w:vMerge w:val="restart"/>
            <w:vAlign w:val="center"/>
          </w:tcPr>
          <w:p w14:paraId="470E9A3E" w14:textId="18725ABA"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1640140B" w14:textId="0A72C4B8"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0.40</w:t>
            </w:r>
          </w:p>
        </w:tc>
      </w:tr>
      <w:tr w:rsidR="005A6D7F" w14:paraId="4755B8D1" w14:textId="77777777" w:rsidTr="00084192">
        <w:trPr>
          <w:trHeight w:val="141"/>
          <w:jc w:val="center"/>
        </w:trPr>
        <w:tc>
          <w:tcPr>
            <w:tcW w:w="398" w:type="dxa"/>
            <w:vMerge/>
            <w:vAlign w:val="center"/>
          </w:tcPr>
          <w:p w14:paraId="0F98BCA3"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718984D1"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43B92A54" w14:textId="77777777" w:rsidR="005A6D7F" w:rsidRPr="005A6D7F" w:rsidRDefault="005A6D7F" w:rsidP="005A6D7F">
            <w:pPr>
              <w:pStyle w:val="affd"/>
              <w:rPr>
                <w:rFonts w:ascii="Times New Roman" w:eastAsia="仿宋_GB2312"/>
                <w:sz w:val="24"/>
                <w:szCs w:val="24"/>
              </w:rPr>
            </w:pPr>
          </w:p>
        </w:tc>
        <w:tc>
          <w:tcPr>
            <w:tcW w:w="4066" w:type="dxa"/>
            <w:gridSpan w:val="5"/>
          </w:tcPr>
          <w:p w14:paraId="3199C1A4" w14:textId="480D9542"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取水性质</w:t>
            </w:r>
          </w:p>
        </w:tc>
        <w:tc>
          <w:tcPr>
            <w:tcW w:w="1462" w:type="dxa"/>
            <w:vMerge/>
            <w:vAlign w:val="center"/>
          </w:tcPr>
          <w:p w14:paraId="72A68458" w14:textId="77777777" w:rsidR="005A6D7F" w:rsidRPr="005A6D7F" w:rsidRDefault="005A6D7F" w:rsidP="005A6D7F">
            <w:pPr>
              <w:pStyle w:val="affd"/>
              <w:rPr>
                <w:rFonts w:ascii="Times New Roman" w:eastAsia="仿宋_GB2312"/>
                <w:sz w:val="24"/>
                <w:szCs w:val="24"/>
              </w:rPr>
            </w:pPr>
          </w:p>
        </w:tc>
        <w:tc>
          <w:tcPr>
            <w:tcW w:w="717" w:type="dxa"/>
            <w:vAlign w:val="center"/>
          </w:tcPr>
          <w:p w14:paraId="79302704" w14:textId="32230511"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0.60</w:t>
            </w:r>
          </w:p>
        </w:tc>
      </w:tr>
      <w:tr w:rsidR="005A6D7F" w14:paraId="351E05A0" w14:textId="77777777" w:rsidTr="00084192">
        <w:trPr>
          <w:trHeight w:val="283"/>
          <w:jc w:val="center"/>
        </w:trPr>
        <w:tc>
          <w:tcPr>
            <w:tcW w:w="398" w:type="dxa"/>
            <w:vMerge w:val="restart"/>
            <w:vAlign w:val="center"/>
          </w:tcPr>
          <w:p w14:paraId="4484F248"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4</w:t>
            </w:r>
          </w:p>
        </w:tc>
        <w:tc>
          <w:tcPr>
            <w:tcW w:w="1569" w:type="dxa"/>
            <w:vMerge w:val="restart"/>
            <w:vAlign w:val="center"/>
          </w:tcPr>
          <w:p w14:paraId="3B4F9D22" w14:textId="587B9ADC"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综合利用率及可靠性</w:t>
            </w:r>
          </w:p>
        </w:tc>
        <w:tc>
          <w:tcPr>
            <w:tcW w:w="709" w:type="dxa"/>
            <w:vMerge w:val="restart"/>
            <w:vAlign w:val="center"/>
          </w:tcPr>
          <w:p w14:paraId="784BE72E"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0.10</w:t>
            </w:r>
          </w:p>
        </w:tc>
        <w:tc>
          <w:tcPr>
            <w:tcW w:w="4066" w:type="dxa"/>
            <w:gridSpan w:val="5"/>
            <w:vAlign w:val="center"/>
          </w:tcPr>
          <w:p w14:paraId="3D0E829D" w14:textId="24AF12A4"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再生水利用率</w:t>
            </w:r>
          </w:p>
        </w:tc>
        <w:tc>
          <w:tcPr>
            <w:tcW w:w="1462" w:type="dxa"/>
            <w:vAlign w:val="center"/>
          </w:tcPr>
          <w:p w14:paraId="70B5A549" w14:textId="1E36A46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0392E313" w14:textId="403BA89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0.10</w:t>
            </w:r>
          </w:p>
        </w:tc>
      </w:tr>
      <w:tr w:rsidR="005A6D7F" w14:paraId="7DC7A721" w14:textId="77777777" w:rsidTr="005A6D7F">
        <w:trPr>
          <w:trHeight w:val="283"/>
          <w:jc w:val="center"/>
        </w:trPr>
        <w:tc>
          <w:tcPr>
            <w:tcW w:w="398" w:type="dxa"/>
            <w:vMerge/>
            <w:vAlign w:val="center"/>
          </w:tcPr>
          <w:p w14:paraId="5BCAAE07"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098339C2"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0A4B7A95" w14:textId="77777777" w:rsidR="005A6D7F" w:rsidRPr="005A6D7F" w:rsidRDefault="005A6D7F" w:rsidP="005A6D7F">
            <w:pPr>
              <w:pStyle w:val="affd"/>
              <w:rPr>
                <w:rFonts w:ascii="Times New Roman" w:eastAsia="仿宋_GB2312"/>
                <w:sz w:val="24"/>
                <w:szCs w:val="24"/>
              </w:rPr>
            </w:pPr>
          </w:p>
        </w:tc>
        <w:tc>
          <w:tcPr>
            <w:tcW w:w="4066" w:type="dxa"/>
            <w:gridSpan w:val="5"/>
            <w:vAlign w:val="center"/>
          </w:tcPr>
          <w:p w14:paraId="0CAA54F6" w14:textId="3B872C6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余热综合利用水平</w:t>
            </w:r>
          </w:p>
        </w:tc>
        <w:tc>
          <w:tcPr>
            <w:tcW w:w="1462" w:type="dxa"/>
            <w:vAlign w:val="center"/>
          </w:tcPr>
          <w:p w14:paraId="7D8A28FF" w14:textId="3A7944D2"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3853B15A" w14:textId="0CC95B0E"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0.25</w:t>
            </w:r>
          </w:p>
        </w:tc>
      </w:tr>
      <w:tr w:rsidR="005A6D7F" w14:paraId="26A5A823" w14:textId="77777777" w:rsidTr="00084192">
        <w:trPr>
          <w:trHeight w:val="283"/>
          <w:jc w:val="center"/>
        </w:trPr>
        <w:tc>
          <w:tcPr>
            <w:tcW w:w="398" w:type="dxa"/>
            <w:vMerge/>
            <w:vAlign w:val="center"/>
          </w:tcPr>
          <w:p w14:paraId="6F638A3B"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58BAF357"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17163ED4" w14:textId="77777777" w:rsidR="005A6D7F" w:rsidRPr="005A6D7F" w:rsidRDefault="005A6D7F" w:rsidP="005A6D7F">
            <w:pPr>
              <w:pStyle w:val="affd"/>
              <w:rPr>
                <w:rFonts w:ascii="Times New Roman" w:eastAsia="仿宋_GB2312"/>
                <w:sz w:val="24"/>
                <w:szCs w:val="24"/>
              </w:rPr>
            </w:pPr>
          </w:p>
        </w:tc>
        <w:tc>
          <w:tcPr>
            <w:tcW w:w="4066" w:type="dxa"/>
            <w:gridSpan w:val="5"/>
          </w:tcPr>
          <w:p w14:paraId="4B7505E9" w14:textId="533A9DE1"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燃料质量波动适应性</w:t>
            </w:r>
          </w:p>
        </w:tc>
        <w:tc>
          <w:tcPr>
            <w:tcW w:w="1462" w:type="dxa"/>
            <w:vAlign w:val="center"/>
          </w:tcPr>
          <w:p w14:paraId="63708CA4" w14:textId="295295F3"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6FD056FA"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0.20</w:t>
            </w:r>
          </w:p>
        </w:tc>
      </w:tr>
      <w:tr w:rsidR="005A6D7F" w14:paraId="2DF17248" w14:textId="77777777" w:rsidTr="00084192">
        <w:trPr>
          <w:trHeight w:val="283"/>
          <w:jc w:val="center"/>
        </w:trPr>
        <w:tc>
          <w:tcPr>
            <w:tcW w:w="398" w:type="dxa"/>
            <w:vMerge/>
            <w:vAlign w:val="center"/>
          </w:tcPr>
          <w:p w14:paraId="3C300F2C"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1AC2D744"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3FC8FBBC" w14:textId="77777777" w:rsidR="005A6D7F" w:rsidRPr="005A6D7F" w:rsidRDefault="005A6D7F" w:rsidP="005A6D7F">
            <w:pPr>
              <w:pStyle w:val="affd"/>
              <w:rPr>
                <w:rFonts w:ascii="Times New Roman" w:eastAsia="仿宋_GB2312"/>
                <w:sz w:val="24"/>
                <w:szCs w:val="24"/>
              </w:rPr>
            </w:pPr>
          </w:p>
        </w:tc>
        <w:tc>
          <w:tcPr>
            <w:tcW w:w="4066" w:type="dxa"/>
            <w:gridSpan w:val="5"/>
          </w:tcPr>
          <w:p w14:paraId="1C6E1F56" w14:textId="25EC782A"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燃料相关非计划停运控制能力</w:t>
            </w:r>
          </w:p>
        </w:tc>
        <w:tc>
          <w:tcPr>
            <w:tcW w:w="1462" w:type="dxa"/>
            <w:vAlign w:val="center"/>
          </w:tcPr>
          <w:p w14:paraId="47B4D705" w14:textId="5D7D28E2"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7FA9BE2B" w14:textId="56952E04"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0.15</w:t>
            </w:r>
          </w:p>
        </w:tc>
      </w:tr>
      <w:tr w:rsidR="005A6D7F" w14:paraId="7D6DAE03" w14:textId="77777777" w:rsidTr="00084192">
        <w:trPr>
          <w:trHeight w:val="283"/>
          <w:jc w:val="center"/>
        </w:trPr>
        <w:tc>
          <w:tcPr>
            <w:tcW w:w="398" w:type="dxa"/>
            <w:vMerge/>
            <w:vAlign w:val="center"/>
          </w:tcPr>
          <w:p w14:paraId="4329A421" w14:textId="77777777" w:rsidR="005A6D7F" w:rsidRPr="005A6D7F" w:rsidRDefault="005A6D7F" w:rsidP="005A6D7F">
            <w:pPr>
              <w:pStyle w:val="affd"/>
              <w:rPr>
                <w:rFonts w:ascii="Times New Roman" w:eastAsia="仿宋_GB2312"/>
                <w:sz w:val="24"/>
                <w:szCs w:val="24"/>
              </w:rPr>
            </w:pPr>
          </w:p>
        </w:tc>
        <w:tc>
          <w:tcPr>
            <w:tcW w:w="1569" w:type="dxa"/>
            <w:vMerge/>
            <w:vAlign w:val="center"/>
          </w:tcPr>
          <w:p w14:paraId="2F8A53EA" w14:textId="77777777" w:rsidR="005A6D7F" w:rsidRPr="005A6D7F" w:rsidRDefault="005A6D7F" w:rsidP="005A6D7F">
            <w:pPr>
              <w:pStyle w:val="affd"/>
              <w:rPr>
                <w:rFonts w:ascii="Times New Roman" w:eastAsia="仿宋_GB2312"/>
                <w:sz w:val="24"/>
                <w:szCs w:val="24"/>
              </w:rPr>
            </w:pPr>
          </w:p>
        </w:tc>
        <w:tc>
          <w:tcPr>
            <w:tcW w:w="709" w:type="dxa"/>
            <w:vMerge/>
            <w:vAlign w:val="center"/>
          </w:tcPr>
          <w:p w14:paraId="68C20E40" w14:textId="77777777" w:rsidR="005A6D7F" w:rsidRPr="005A6D7F" w:rsidRDefault="005A6D7F" w:rsidP="005A6D7F">
            <w:pPr>
              <w:pStyle w:val="affd"/>
              <w:rPr>
                <w:rFonts w:ascii="Times New Roman" w:eastAsia="仿宋_GB2312"/>
                <w:sz w:val="24"/>
                <w:szCs w:val="24"/>
              </w:rPr>
            </w:pPr>
          </w:p>
        </w:tc>
        <w:tc>
          <w:tcPr>
            <w:tcW w:w="4066" w:type="dxa"/>
            <w:gridSpan w:val="5"/>
          </w:tcPr>
          <w:p w14:paraId="77A989B5" w14:textId="382753E2"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锅炉年检合格情况</w:t>
            </w:r>
          </w:p>
        </w:tc>
        <w:tc>
          <w:tcPr>
            <w:tcW w:w="1462" w:type="dxa"/>
            <w:vAlign w:val="center"/>
          </w:tcPr>
          <w:p w14:paraId="3E14EA80" w14:textId="77B26CFA"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w:t>
            </w:r>
          </w:p>
        </w:tc>
        <w:tc>
          <w:tcPr>
            <w:tcW w:w="717" w:type="dxa"/>
            <w:vAlign w:val="center"/>
          </w:tcPr>
          <w:p w14:paraId="4375132E" w14:textId="0C8A445A"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0.30</w:t>
            </w:r>
          </w:p>
        </w:tc>
      </w:tr>
      <w:tr w:rsidR="00445F8C" w14:paraId="4311E242" w14:textId="77777777" w:rsidTr="005A6D7F">
        <w:trPr>
          <w:trHeight w:val="720"/>
          <w:jc w:val="center"/>
        </w:trPr>
        <w:tc>
          <w:tcPr>
            <w:tcW w:w="398" w:type="dxa"/>
            <w:vMerge w:val="restart"/>
            <w:vAlign w:val="center"/>
          </w:tcPr>
          <w:p w14:paraId="0382EA9D" w14:textId="0E0578CD" w:rsidR="00445F8C" w:rsidRPr="005A6D7F" w:rsidRDefault="005A6D7F">
            <w:pPr>
              <w:pStyle w:val="affd"/>
              <w:rPr>
                <w:rFonts w:ascii="Times New Roman" w:eastAsia="仿宋_GB2312"/>
                <w:sz w:val="24"/>
                <w:szCs w:val="24"/>
              </w:rPr>
            </w:pPr>
            <w:bookmarkStart w:id="8" w:name="_Hlk219626070"/>
            <w:r w:rsidRPr="005A6D7F">
              <w:rPr>
                <w:rFonts w:ascii="Times New Roman" w:eastAsia="仿宋_GB2312"/>
                <w:sz w:val="24"/>
                <w:szCs w:val="24"/>
              </w:rPr>
              <w:lastRenderedPageBreak/>
              <w:t>5</w:t>
            </w:r>
          </w:p>
        </w:tc>
        <w:tc>
          <w:tcPr>
            <w:tcW w:w="1569" w:type="dxa"/>
            <w:vMerge w:val="restart"/>
            <w:vAlign w:val="center"/>
          </w:tcPr>
          <w:p w14:paraId="506F2BF3" w14:textId="2E6F4CF2" w:rsidR="00445F8C" w:rsidRPr="005A6D7F" w:rsidRDefault="00084192">
            <w:pPr>
              <w:pStyle w:val="affd"/>
              <w:rPr>
                <w:rFonts w:ascii="Times New Roman" w:eastAsia="仿宋_GB2312"/>
                <w:sz w:val="24"/>
                <w:szCs w:val="24"/>
              </w:rPr>
            </w:pPr>
            <w:r w:rsidRPr="005A6D7F">
              <w:rPr>
                <w:rFonts w:ascii="Times New Roman" w:eastAsia="仿宋_GB2312"/>
                <w:sz w:val="24"/>
                <w:szCs w:val="24"/>
              </w:rPr>
              <w:t>大气</w:t>
            </w:r>
            <w:r w:rsidR="005A6D7F" w:rsidRPr="005A6D7F">
              <w:rPr>
                <w:rFonts w:ascii="Times New Roman" w:eastAsia="仿宋_GB2312"/>
                <w:sz w:val="24"/>
                <w:szCs w:val="24"/>
              </w:rPr>
              <w:t>污染物</w:t>
            </w:r>
            <w:r w:rsidRPr="005A6D7F">
              <w:rPr>
                <w:rFonts w:ascii="Times New Roman" w:eastAsia="仿宋_GB2312"/>
                <w:sz w:val="24"/>
                <w:szCs w:val="24"/>
              </w:rPr>
              <w:t>排放</w:t>
            </w:r>
          </w:p>
        </w:tc>
        <w:tc>
          <w:tcPr>
            <w:tcW w:w="709" w:type="dxa"/>
            <w:vMerge w:val="restart"/>
            <w:vAlign w:val="center"/>
          </w:tcPr>
          <w:p w14:paraId="53F5FBD8" w14:textId="6E1301EE" w:rsidR="00445F8C" w:rsidRPr="005A6D7F" w:rsidRDefault="00084192">
            <w:pPr>
              <w:pStyle w:val="affd"/>
              <w:rPr>
                <w:rFonts w:ascii="Times New Roman" w:eastAsia="仿宋_GB2312"/>
                <w:sz w:val="24"/>
                <w:szCs w:val="24"/>
              </w:rPr>
            </w:pPr>
            <w:r w:rsidRPr="005A6D7F">
              <w:rPr>
                <w:rFonts w:ascii="Times New Roman" w:eastAsia="仿宋_GB2312"/>
                <w:sz w:val="24"/>
                <w:szCs w:val="24"/>
              </w:rPr>
              <w:t>0.</w:t>
            </w:r>
            <w:r w:rsidR="005A6D7F" w:rsidRPr="005A6D7F">
              <w:rPr>
                <w:rFonts w:ascii="Times New Roman" w:eastAsia="仿宋_GB2312"/>
                <w:sz w:val="24"/>
                <w:szCs w:val="24"/>
              </w:rPr>
              <w:t>30</w:t>
            </w:r>
          </w:p>
        </w:tc>
        <w:tc>
          <w:tcPr>
            <w:tcW w:w="935" w:type="dxa"/>
            <w:vMerge w:val="restart"/>
            <w:vAlign w:val="center"/>
          </w:tcPr>
          <w:p w14:paraId="1ECB5CE5"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日均</w:t>
            </w:r>
            <w:proofErr w:type="gramStart"/>
            <w:r w:rsidRPr="005A6D7F">
              <w:rPr>
                <w:rFonts w:ascii="Times New Roman" w:eastAsia="仿宋_GB2312"/>
                <w:sz w:val="24"/>
                <w:szCs w:val="24"/>
              </w:rPr>
              <w:t>排放值</w:t>
            </w:r>
            <w:proofErr w:type="gramEnd"/>
            <w:r w:rsidRPr="005A6D7F">
              <w:rPr>
                <w:rFonts w:ascii="Times New Roman" w:eastAsia="仿宋_GB2312"/>
                <w:sz w:val="24"/>
                <w:szCs w:val="24"/>
              </w:rPr>
              <w:t>不大于</w:t>
            </w:r>
          </w:p>
        </w:tc>
        <w:tc>
          <w:tcPr>
            <w:tcW w:w="1003" w:type="dxa"/>
            <w:vAlign w:val="center"/>
          </w:tcPr>
          <w:p w14:paraId="7AB78558"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颗粒物</w:t>
            </w:r>
          </w:p>
        </w:tc>
        <w:tc>
          <w:tcPr>
            <w:tcW w:w="2128" w:type="dxa"/>
            <w:gridSpan w:val="3"/>
            <w:vAlign w:val="center"/>
          </w:tcPr>
          <w:p w14:paraId="6D837E19"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层燃锅炉</w:t>
            </w:r>
          </w:p>
          <w:p w14:paraId="68896C1B" w14:textId="77777777" w:rsidR="00445F8C" w:rsidRPr="005A6D7F" w:rsidRDefault="00084192">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7B053EB7"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Align w:val="center"/>
          </w:tcPr>
          <w:p w14:paraId="1343FCCD" w14:textId="77777777" w:rsidR="00445F8C" w:rsidRPr="005A6D7F" w:rsidRDefault="00084192">
            <w:pPr>
              <w:pStyle w:val="affa"/>
              <w:ind w:firstLineChars="0" w:firstLine="0"/>
              <w:jc w:val="center"/>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Align w:val="center"/>
          </w:tcPr>
          <w:p w14:paraId="324603F0" w14:textId="02AA9323" w:rsidR="00445F8C" w:rsidRPr="005A6D7F" w:rsidRDefault="00084192">
            <w:pPr>
              <w:pStyle w:val="affd"/>
              <w:rPr>
                <w:rFonts w:ascii="Times New Roman" w:eastAsia="仿宋_GB2312"/>
                <w:sz w:val="24"/>
                <w:szCs w:val="24"/>
              </w:rPr>
            </w:pPr>
            <w:r w:rsidRPr="005A6D7F">
              <w:rPr>
                <w:rFonts w:ascii="Times New Roman" w:eastAsia="仿宋_GB2312"/>
                <w:sz w:val="24"/>
                <w:szCs w:val="24"/>
              </w:rPr>
              <w:t>0.</w:t>
            </w:r>
            <w:r w:rsidR="005A6D7F" w:rsidRPr="005A6D7F">
              <w:rPr>
                <w:rFonts w:ascii="Times New Roman" w:eastAsia="仿宋_GB2312"/>
                <w:sz w:val="24"/>
                <w:szCs w:val="24"/>
              </w:rPr>
              <w:t>15</w:t>
            </w:r>
          </w:p>
        </w:tc>
      </w:tr>
      <w:tr w:rsidR="00445F8C" w14:paraId="531147A3" w14:textId="77777777" w:rsidTr="005A6D7F">
        <w:trPr>
          <w:trHeight w:val="111"/>
          <w:jc w:val="center"/>
        </w:trPr>
        <w:tc>
          <w:tcPr>
            <w:tcW w:w="398" w:type="dxa"/>
            <w:vMerge/>
            <w:vAlign w:val="center"/>
          </w:tcPr>
          <w:p w14:paraId="2021D02D" w14:textId="77777777" w:rsidR="00445F8C" w:rsidRPr="005A6D7F" w:rsidRDefault="00445F8C">
            <w:pPr>
              <w:pStyle w:val="affd"/>
              <w:rPr>
                <w:rFonts w:ascii="Times New Roman" w:eastAsia="仿宋_GB2312"/>
                <w:sz w:val="24"/>
                <w:szCs w:val="24"/>
              </w:rPr>
            </w:pPr>
          </w:p>
        </w:tc>
        <w:tc>
          <w:tcPr>
            <w:tcW w:w="1569" w:type="dxa"/>
            <w:vMerge/>
            <w:vAlign w:val="center"/>
          </w:tcPr>
          <w:p w14:paraId="4C3C0BCA" w14:textId="77777777" w:rsidR="00445F8C" w:rsidRPr="005A6D7F" w:rsidRDefault="00445F8C">
            <w:pPr>
              <w:pStyle w:val="affd"/>
              <w:rPr>
                <w:rFonts w:ascii="Times New Roman" w:eastAsia="仿宋_GB2312"/>
                <w:sz w:val="24"/>
                <w:szCs w:val="24"/>
              </w:rPr>
            </w:pPr>
          </w:p>
        </w:tc>
        <w:tc>
          <w:tcPr>
            <w:tcW w:w="709" w:type="dxa"/>
            <w:vMerge/>
            <w:vAlign w:val="center"/>
          </w:tcPr>
          <w:p w14:paraId="369D1C20" w14:textId="77777777" w:rsidR="00445F8C" w:rsidRPr="005A6D7F" w:rsidRDefault="00445F8C">
            <w:pPr>
              <w:pStyle w:val="affd"/>
              <w:rPr>
                <w:rFonts w:ascii="Times New Roman" w:eastAsia="仿宋_GB2312"/>
                <w:sz w:val="24"/>
                <w:szCs w:val="24"/>
              </w:rPr>
            </w:pPr>
          </w:p>
        </w:tc>
        <w:tc>
          <w:tcPr>
            <w:tcW w:w="935" w:type="dxa"/>
            <w:vMerge/>
            <w:vAlign w:val="center"/>
          </w:tcPr>
          <w:p w14:paraId="444CC600" w14:textId="77777777" w:rsidR="00445F8C" w:rsidRPr="005A6D7F" w:rsidRDefault="00445F8C">
            <w:pPr>
              <w:pStyle w:val="affd"/>
              <w:rPr>
                <w:rFonts w:ascii="Times New Roman" w:eastAsia="仿宋_GB2312"/>
                <w:sz w:val="24"/>
                <w:szCs w:val="24"/>
              </w:rPr>
            </w:pPr>
          </w:p>
        </w:tc>
        <w:tc>
          <w:tcPr>
            <w:tcW w:w="1003" w:type="dxa"/>
            <w:vMerge w:val="restart"/>
            <w:vAlign w:val="center"/>
          </w:tcPr>
          <w:p w14:paraId="5054C7B0" w14:textId="122AA19F" w:rsidR="00445F8C" w:rsidRPr="005A6D7F" w:rsidRDefault="00084192">
            <w:pPr>
              <w:pStyle w:val="affd"/>
              <w:rPr>
                <w:rFonts w:ascii="Times New Roman" w:eastAsia="仿宋_GB2312"/>
                <w:sz w:val="24"/>
                <w:szCs w:val="24"/>
              </w:rPr>
            </w:pPr>
            <w:r w:rsidRPr="005A6D7F">
              <w:rPr>
                <w:rFonts w:ascii="Times New Roman" w:eastAsia="仿宋_GB2312"/>
                <w:sz w:val="24"/>
                <w:szCs w:val="24"/>
              </w:rPr>
              <w:t>氮氧化物</w:t>
            </w:r>
          </w:p>
        </w:tc>
        <w:tc>
          <w:tcPr>
            <w:tcW w:w="2128" w:type="dxa"/>
            <w:gridSpan w:val="3"/>
            <w:vAlign w:val="center"/>
          </w:tcPr>
          <w:p w14:paraId="5F7D9509"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层燃锅炉</w:t>
            </w:r>
          </w:p>
        </w:tc>
        <w:tc>
          <w:tcPr>
            <w:tcW w:w="1462" w:type="dxa"/>
            <w:vMerge w:val="restart"/>
            <w:vAlign w:val="center"/>
          </w:tcPr>
          <w:p w14:paraId="6FCB5BE6" w14:textId="77777777" w:rsidR="00445F8C" w:rsidRPr="005A6D7F" w:rsidRDefault="00084192">
            <w:pPr>
              <w:pStyle w:val="affa"/>
              <w:ind w:firstLineChars="0" w:firstLine="0"/>
              <w:jc w:val="center"/>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Merge w:val="restart"/>
            <w:vAlign w:val="center"/>
          </w:tcPr>
          <w:p w14:paraId="67917A64" w14:textId="094E8B92" w:rsidR="00445F8C" w:rsidRPr="005A6D7F" w:rsidRDefault="00084192">
            <w:pPr>
              <w:pStyle w:val="affd"/>
              <w:rPr>
                <w:rFonts w:ascii="Times New Roman" w:eastAsia="仿宋_GB2312"/>
                <w:sz w:val="24"/>
                <w:szCs w:val="24"/>
              </w:rPr>
            </w:pPr>
            <w:r w:rsidRPr="005A6D7F">
              <w:rPr>
                <w:rFonts w:ascii="Times New Roman" w:eastAsia="仿宋_GB2312"/>
                <w:sz w:val="24"/>
                <w:szCs w:val="24"/>
              </w:rPr>
              <w:t>0.</w:t>
            </w:r>
            <w:r w:rsidR="005A6D7F" w:rsidRPr="005A6D7F">
              <w:rPr>
                <w:rFonts w:ascii="Times New Roman" w:eastAsia="仿宋_GB2312"/>
                <w:sz w:val="24"/>
                <w:szCs w:val="24"/>
              </w:rPr>
              <w:t>15</w:t>
            </w:r>
          </w:p>
        </w:tc>
      </w:tr>
      <w:tr w:rsidR="00445F8C" w14:paraId="1E939C0E" w14:textId="77777777" w:rsidTr="005A6D7F">
        <w:trPr>
          <w:trHeight w:val="111"/>
          <w:jc w:val="center"/>
        </w:trPr>
        <w:tc>
          <w:tcPr>
            <w:tcW w:w="398" w:type="dxa"/>
            <w:vMerge/>
            <w:vAlign w:val="center"/>
          </w:tcPr>
          <w:p w14:paraId="58F614FA" w14:textId="77777777" w:rsidR="00445F8C" w:rsidRPr="005A6D7F" w:rsidRDefault="00445F8C">
            <w:pPr>
              <w:pStyle w:val="affd"/>
              <w:rPr>
                <w:rFonts w:ascii="Times New Roman" w:eastAsia="仿宋_GB2312"/>
                <w:sz w:val="24"/>
                <w:szCs w:val="24"/>
              </w:rPr>
            </w:pPr>
          </w:p>
        </w:tc>
        <w:tc>
          <w:tcPr>
            <w:tcW w:w="1569" w:type="dxa"/>
            <w:vMerge/>
            <w:vAlign w:val="center"/>
          </w:tcPr>
          <w:p w14:paraId="738F8FB6" w14:textId="77777777" w:rsidR="00445F8C" w:rsidRPr="005A6D7F" w:rsidRDefault="00445F8C">
            <w:pPr>
              <w:pStyle w:val="affd"/>
              <w:rPr>
                <w:rFonts w:ascii="Times New Roman" w:eastAsia="仿宋_GB2312"/>
                <w:sz w:val="24"/>
                <w:szCs w:val="24"/>
              </w:rPr>
            </w:pPr>
          </w:p>
        </w:tc>
        <w:tc>
          <w:tcPr>
            <w:tcW w:w="709" w:type="dxa"/>
            <w:vMerge/>
            <w:vAlign w:val="center"/>
          </w:tcPr>
          <w:p w14:paraId="6589319A" w14:textId="77777777" w:rsidR="00445F8C" w:rsidRPr="005A6D7F" w:rsidRDefault="00445F8C">
            <w:pPr>
              <w:pStyle w:val="affd"/>
              <w:rPr>
                <w:rFonts w:ascii="Times New Roman" w:eastAsia="仿宋_GB2312"/>
                <w:sz w:val="24"/>
                <w:szCs w:val="24"/>
              </w:rPr>
            </w:pPr>
          </w:p>
        </w:tc>
        <w:tc>
          <w:tcPr>
            <w:tcW w:w="935" w:type="dxa"/>
            <w:vMerge/>
            <w:vAlign w:val="center"/>
          </w:tcPr>
          <w:p w14:paraId="5B40BDC8" w14:textId="77777777" w:rsidR="00445F8C" w:rsidRPr="005A6D7F" w:rsidRDefault="00445F8C">
            <w:pPr>
              <w:pStyle w:val="affd"/>
              <w:rPr>
                <w:rFonts w:ascii="Times New Roman" w:eastAsia="仿宋_GB2312"/>
                <w:sz w:val="24"/>
                <w:szCs w:val="24"/>
              </w:rPr>
            </w:pPr>
          </w:p>
        </w:tc>
        <w:tc>
          <w:tcPr>
            <w:tcW w:w="1003" w:type="dxa"/>
            <w:vMerge/>
            <w:vAlign w:val="center"/>
          </w:tcPr>
          <w:p w14:paraId="5DBD7D84" w14:textId="77777777" w:rsidR="00445F8C" w:rsidRPr="005A6D7F" w:rsidRDefault="00445F8C">
            <w:pPr>
              <w:pStyle w:val="affd"/>
              <w:rPr>
                <w:rFonts w:ascii="Times New Roman" w:eastAsia="仿宋_GB2312"/>
                <w:sz w:val="24"/>
                <w:szCs w:val="24"/>
              </w:rPr>
            </w:pPr>
          </w:p>
        </w:tc>
        <w:tc>
          <w:tcPr>
            <w:tcW w:w="2128" w:type="dxa"/>
            <w:gridSpan w:val="3"/>
            <w:vAlign w:val="center"/>
          </w:tcPr>
          <w:p w14:paraId="49852551" w14:textId="77777777" w:rsidR="00445F8C" w:rsidRPr="005A6D7F" w:rsidRDefault="00084192">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13F571A4"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Merge/>
            <w:vAlign w:val="center"/>
          </w:tcPr>
          <w:p w14:paraId="4A15528E" w14:textId="77777777" w:rsidR="00445F8C" w:rsidRPr="005A6D7F" w:rsidRDefault="00445F8C">
            <w:pPr>
              <w:pStyle w:val="affa"/>
              <w:ind w:firstLineChars="0" w:firstLine="0"/>
              <w:jc w:val="center"/>
              <w:rPr>
                <w:rFonts w:ascii="Times New Roman" w:eastAsia="仿宋_GB2312"/>
                <w:sz w:val="24"/>
                <w:szCs w:val="24"/>
              </w:rPr>
            </w:pPr>
          </w:p>
        </w:tc>
        <w:tc>
          <w:tcPr>
            <w:tcW w:w="717" w:type="dxa"/>
            <w:vMerge/>
            <w:vAlign w:val="center"/>
          </w:tcPr>
          <w:p w14:paraId="2F0CF158" w14:textId="77777777" w:rsidR="00445F8C" w:rsidRPr="005A6D7F" w:rsidRDefault="00445F8C">
            <w:pPr>
              <w:pStyle w:val="affd"/>
              <w:rPr>
                <w:rFonts w:ascii="Times New Roman" w:eastAsia="仿宋_GB2312"/>
                <w:sz w:val="24"/>
                <w:szCs w:val="24"/>
              </w:rPr>
            </w:pPr>
          </w:p>
        </w:tc>
      </w:tr>
      <w:tr w:rsidR="00445F8C" w14:paraId="38F8C91B" w14:textId="77777777" w:rsidTr="005A6D7F">
        <w:trPr>
          <w:trHeight w:val="257"/>
          <w:jc w:val="center"/>
        </w:trPr>
        <w:tc>
          <w:tcPr>
            <w:tcW w:w="398" w:type="dxa"/>
            <w:vMerge/>
            <w:vAlign w:val="center"/>
          </w:tcPr>
          <w:p w14:paraId="1FD68BD2" w14:textId="77777777" w:rsidR="00445F8C" w:rsidRPr="005A6D7F" w:rsidRDefault="00445F8C">
            <w:pPr>
              <w:pStyle w:val="affd"/>
              <w:rPr>
                <w:rFonts w:ascii="Times New Roman" w:eastAsia="仿宋_GB2312"/>
                <w:sz w:val="24"/>
                <w:szCs w:val="24"/>
              </w:rPr>
            </w:pPr>
          </w:p>
        </w:tc>
        <w:tc>
          <w:tcPr>
            <w:tcW w:w="1569" w:type="dxa"/>
            <w:vMerge/>
            <w:vAlign w:val="center"/>
          </w:tcPr>
          <w:p w14:paraId="04BEBCC0" w14:textId="77777777" w:rsidR="00445F8C" w:rsidRPr="005A6D7F" w:rsidRDefault="00445F8C">
            <w:pPr>
              <w:pStyle w:val="affd"/>
              <w:rPr>
                <w:rFonts w:ascii="Times New Roman" w:eastAsia="仿宋_GB2312"/>
                <w:sz w:val="24"/>
                <w:szCs w:val="24"/>
              </w:rPr>
            </w:pPr>
          </w:p>
        </w:tc>
        <w:tc>
          <w:tcPr>
            <w:tcW w:w="709" w:type="dxa"/>
            <w:vMerge/>
            <w:vAlign w:val="center"/>
          </w:tcPr>
          <w:p w14:paraId="245BD3D7" w14:textId="77777777" w:rsidR="00445F8C" w:rsidRPr="005A6D7F" w:rsidRDefault="00445F8C">
            <w:pPr>
              <w:pStyle w:val="affd"/>
              <w:rPr>
                <w:rFonts w:ascii="Times New Roman" w:eastAsia="仿宋_GB2312"/>
                <w:sz w:val="24"/>
                <w:szCs w:val="24"/>
              </w:rPr>
            </w:pPr>
          </w:p>
        </w:tc>
        <w:tc>
          <w:tcPr>
            <w:tcW w:w="935" w:type="dxa"/>
            <w:vMerge/>
            <w:vAlign w:val="center"/>
          </w:tcPr>
          <w:p w14:paraId="71DA9A85" w14:textId="77777777" w:rsidR="00445F8C" w:rsidRPr="005A6D7F" w:rsidRDefault="00445F8C">
            <w:pPr>
              <w:pStyle w:val="affd"/>
              <w:rPr>
                <w:rFonts w:ascii="Times New Roman" w:eastAsia="仿宋_GB2312"/>
                <w:sz w:val="24"/>
                <w:szCs w:val="24"/>
              </w:rPr>
            </w:pPr>
          </w:p>
        </w:tc>
        <w:tc>
          <w:tcPr>
            <w:tcW w:w="1003" w:type="dxa"/>
            <w:vMerge w:val="restart"/>
            <w:vAlign w:val="center"/>
          </w:tcPr>
          <w:p w14:paraId="6A66E217" w14:textId="3A8C44C7" w:rsidR="00445F8C" w:rsidRPr="005A6D7F" w:rsidRDefault="00084192">
            <w:pPr>
              <w:pStyle w:val="affd"/>
              <w:rPr>
                <w:rFonts w:ascii="Times New Roman" w:eastAsia="仿宋_GB2312"/>
                <w:sz w:val="24"/>
                <w:szCs w:val="24"/>
              </w:rPr>
            </w:pPr>
            <w:r w:rsidRPr="005A6D7F">
              <w:rPr>
                <w:rFonts w:ascii="Times New Roman" w:eastAsia="仿宋_GB2312"/>
                <w:sz w:val="24"/>
                <w:szCs w:val="24"/>
              </w:rPr>
              <w:t>二氧化硫</w:t>
            </w:r>
          </w:p>
        </w:tc>
        <w:tc>
          <w:tcPr>
            <w:tcW w:w="2128" w:type="dxa"/>
            <w:gridSpan w:val="3"/>
            <w:vAlign w:val="center"/>
          </w:tcPr>
          <w:p w14:paraId="07FC7D47"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层燃锅炉</w:t>
            </w:r>
          </w:p>
        </w:tc>
        <w:tc>
          <w:tcPr>
            <w:tcW w:w="1462" w:type="dxa"/>
            <w:vMerge w:val="restart"/>
            <w:vAlign w:val="center"/>
          </w:tcPr>
          <w:p w14:paraId="7C5EB600" w14:textId="77777777" w:rsidR="00445F8C" w:rsidRPr="005A6D7F" w:rsidRDefault="00084192">
            <w:pPr>
              <w:pStyle w:val="affa"/>
              <w:ind w:firstLineChars="0" w:firstLine="0"/>
              <w:jc w:val="center"/>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Merge w:val="restart"/>
            <w:vAlign w:val="center"/>
          </w:tcPr>
          <w:p w14:paraId="58791A74" w14:textId="2C6271CB" w:rsidR="00445F8C" w:rsidRPr="005A6D7F" w:rsidRDefault="00084192">
            <w:pPr>
              <w:pStyle w:val="affd"/>
              <w:rPr>
                <w:rFonts w:ascii="Times New Roman" w:eastAsia="仿宋_GB2312"/>
                <w:sz w:val="24"/>
                <w:szCs w:val="24"/>
              </w:rPr>
            </w:pPr>
            <w:r w:rsidRPr="005A6D7F">
              <w:rPr>
                <w:rFonts w:ascii="Times New Roman" w:eastAsia="仿宋_GB2312"/>
                <w:sz w:val="24"/>
                <w:szCs w:val="24"/>
              </w:rPr>
              <w:t>0.</w:t>
            </w:r>
            <w:r w:rsidR="005A6D7F" w:rsidRPr="005A6D7F">
              <w:rPr>
                <w:rFonts w:ascii="Times New Roman" w:eastAsia="仿宋_GB2312"/>
                <w:sz w:val="24"/>
                <w:szCs w:val="24"/>
              </w:rPr>
              <w:t>15</w:t>
            </w:r>
          </w:p>
        </w:tc>
      </w:tr>
      <w:tr w:rsidR="00445F8C" w14:paraId="706BC402" w14:textId="77777777" w:rsidTr="005A6D7F">
        <w:trPr>
          <w:trHeight w:val="256"/>
          <w:jc w:val="center"/>
        </w:trPr>
        <w:tc>
          <w:tcPr>
            <w:tcW w:w="398" w:type="dxa"/>
            <w:vMerge/>
            <w:vAlign w:val="center"/>
          </w:tcPr>
          <w:p w14:paraId="3B47D90A" w14:textId="77777777" w:rsidR="00445F8C" w:rsidRPr="005A6D7F" w:rsidRDefault="00445F8C">
            <w:pPr>
              <w:pStyle w:val="affd"/>
              <w:rPr>
                <w:rFonts w:ascii="Times New Roman" w:eastAsia="仿宋_GB2312"/>
                <w:sz w:val="24"/>
                <w:szCs w:val="24"/>
              </w:rPr>
            </w:pPr>
          </w:p>
        </w:tc>
        <w:tc>
          <w:tcPr>
            <w:tcW w:w="1569" w:type="dxa"/>
            <w:vMerge/>
            <w:vAlign w:val="center"/>
          </w:tcPr>
          <w:p w14:paraId="4E5E325E" w14:textId="77777777" w:rsidR="00445F8C" w:rsidRPr="005A6D7F" w:rsidRDefault="00445F8C">
            <w:pPr>
              <w:pStyle w:val="affd"/>
              <w:rPr>
                <w:rFonts w:ascii="Times New Roman" w:eastAsia="仿宋_GB2312"/>
                <w:sz w:val="24"/>
                <w:szCs w:val="24"/>
              </w:rPr>
            </w:pPr>
          </w:p>
        </w:tc>
        <w:tc>
          <w:tcPr>
            <w:tcW w:w="709" w:type="dxa"/>
            <w:vMerge/>
            <w:vAlign w:val="center"/>
          </w:tcPr>
          <w:p w14:paraId="0EBF22E8" w14:textId="77777777" w:rsidR="00445F8C" w:rsidRPr="005A6D7F" w:rsidRDefault="00445F8C">
            <w:pPr>
              <w:pStyle w:val="affd"/>
              <w:rPr>
                <w:rFonts w:ascii="Times New Roman" w:eastAsia="仿宋_GB2312"/>
                <w:sz w:val="24"/>
                <w:szCs w:val="24"/>
              </w:rPr>
            </w:pPr>
          </w:p>
        </w:tc>
        <w:tc>
          <w:tcPr>
            <w:tcW w:w="935" w:type="dxa"/>
            <w:vMerge/>
            <w:vAlign w:val="center"/>
          </w:tcPr>
          <w:p w14:paraId="55AAE131" w14:textId="77777777" w:rsidR="00445F8C" w:rsidRPr="005A6D7F" w:rsidRDefault="00445F8C">
            <w:pPr>
              <w:pStyle w:val="affd"/>
              <w:rPr>
                <w:rFonts w:ascii="Times New Roman" w:eastAsia="仿宋_GB2312"/>
                <w:sz w:val="24"/>
                <w:szCs w:val="24"/>
              </w:rPr>
            </w:pPr>
          </w:p>
        </w:tc>
        <w:tc>
          <w:tcPr>
            <w:tcW w:w="1003" w:type="dxa"/>
            <w:vMerge/>
            <w:vAlign w:val="center"/>
          </w:tcPr>
          <w:p w14:paraId="178DF683" w14:textId="77777777" w:rsidR="00445F8C" w:rsidRPr="005A6D7F" w:rsidRDefault="00445F8C">
            <w:pPr>
              <w:pStyle w:val="affd"/>
              <w:rPr>
                <w:rFonts w:ascii="Times New Roman" w:eastAsia="仿宋_GB2312"/>
                <w:sz w:val="24"/>
                <w:szCs w:val="24"/>
              </w:rPr>
            </w:pPr>
          </w:p>
        </w:tc>
        <w:tc>
          <w:tcPr>
            <w:tcW w:w="2128" w:type="dxa"/>
            <w:gridSpan w:val="3"/>
            <w:vAlign w:val="center"/>
          </w:tcPr>
          <w:p w14:paraId="3C36ADAC" w14:textId="77777777" w:rsidR="00445F8C" w:rsidRPr="005A6D7F" w:rsidRDefault="00084192">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18B16E29"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Merge/>
            <w:vAlign w:val="center"/>
          </w:tcPr>
          <w:p w14:paraId="69DBEA17" w14:textId="77777777" w:rsidR="00445F8C" w:rsidRPr="005A6D7F" w:rsidRDefault="00445F8C">
            <w:pPr>
              <w:pStyle w:val="affa"/>
              <w:ind w:firstLineChars="0" w:firstLine="0"/>
              <w:jc w:val="center"/>
              <w:rPr>
                <w:rFonts w:ascii="Times New Roman" w:eastAsia="仿宋_GB2312"/>
                <w:sz w:val="24"/>
                <w:szCs w:val="24"/>
              </w:rPr>
            </w:pPr>
          </w:p>
        </w:tc>
        <w:tc>
          <w:tcPr>
            <w:tcW w:w="717" w:type="dxa"/>
            <w:vMerge/>
            <w:vAlign w:val="center"/>
          </w:tcPr>
          <w:p w14:paraId="34B07456" w14:textId="77777777" w:rsidR="00445F8C" w:rsidRPr="005A6D7F" w:rsidRDefault="00445F8C">
            <w:pPr>
              <w:pStyle w:val="affd"/>
              <w:rPr>
                <w:rFonts w:ascii="Times New Roman" w:eastAsia="仿宋_GB2312"/>
                <w:sz w:val="24"/>
                <w:szCs w:val="24"/>
              </w:rPr>
            </w:pPr>
          </w:p>
        </w:tc>
      </w:tr>
      <w:tr w:rsidR="00445F8C" w14:paraId="4CA386F5" w14:textId="77777777" w:rsidTr="005A6D7F">
        <w:trPr>
          <w:trHeight w:val="822"/>
          <w:jc w:val="center"/>
        </w:trPr>
        <w:tc>
          <w:tcPr>
            <w:tcW w:w="398" w:type="dxa"/>
            <w:vMerge/>
            <w:vAlign w:val="center"/>
          </w:tcPr>
          <w:p w14:paraId="714B667A" w14:textId="77777777" w:rsidR="00445F8C" w:rsidRPr="005A6D7F" w:rsidRDefault="00445F8C">
            <w:pPr>
              <w:pStyle w:val="affd"/>
              <w:rPr>
                <w:rFonts w:ascii="Times New Roman" w:eastAsia="仿宋_GB2312"/>
                <w:sz w:val="24"/>
                <w:szCs w:val="24"/>
              </w:rPr>
            </w:pPr>
          </w:p>
        </w:tc>
        <w:tc>
          <w:tcPr>
            <w:tcW w:w="1569" w:type="dxa"/>
            <w:vMerge/>
            <w:vAlign w:val="center"/>
          </w:tcPr>
          <w:p w14:paraId="74A749EF" w14:textId="77777777" w:rsidR="00445F8C" w:rsidRPr="005A6D7F" w:rsidRDefault="00445F8C">
            <w:pPr>
              <w:pStyle w:val="affd"/>
              <w:rPr>
                <w:rFonts w:ascii="Times New Roman" w:eastAsia="仿宋_GB2312"/>
                <w:sz w:val="24"/>
                <w:szCs w:val="24"/>
              </w:rPr>
            </w:pPr>
          </w:p>
        </w:tc>
        <w:tc>
          <w:tcPr>
            <w:tcW w:w="709" w:type="dxa"/>
            <w:vMerge/>
            <w:vAlign w:val="center"/>
          </w:tcPr>
          <w:p w14:paraId="50CC3A27" w14:textId="77777777" w:rsidR="00445F8C" w:rsidRPr="005A6D7F" w:rsidRDefault="00445F8C">
            <w:pPr>
              <w:pStyle w:val="affd"/>
              <w:rPr>
                <w:rFonts w:ascii="Times New Roman" w:eastAsia="仿宋_GB2312"/>
                <w:sz w:val="24"/>
                <w:szCs w:val="24"/>
              </w:rPr>
            </w:pPr>
          </w:p>
        </w:tc>
        <w:tc>
          <w:tcPr>
            <w:tcW w:w="935" w:type="dxa"/>
            <w:vMerge/>
            <w:vAlign w:val="center"/>
          </w:tcPr>
          <w:p w14:paraId="45DFCC66" w14:textId="77777777" w:rsidR="00445F8C" w:rsidRPr="005A6D7F" w:rsidRDefault="00445F8C">
            <w:pPr>
              <w:pStyle w:val="affd"/>
              <w:rPr>
                <w:rFonts w:ascii="Times New Roman" w:eastAsia="仿宋_GB2312"/>
                <w:sz w:val="24"/>
                <w:szCs w:val="24"/>
              </w:rPr>
            </w:pPr>
          </w:p>
        </w:tc>
        <w:tc>
          <w:tcPr>
            <w:tcW w:w="1003" w:type="dxa"/>
            <w:vAlign w:val="center"/>
          </w:tcPr>
          <w:p w14:paraId="35B143EA" w14:textId="088704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一氧化碳</w:t>
            </w:r>
            <w:r w:rsidRPr="005A6D7F">
              <w:rPr>
                <w:rFonts w:ascii="Times New Roman" w:eastAsia="仿宋_GB2312"/>
                <w:sz w:val="24"/>
                <w:szCs w:val="24"/>
              </w:rPr>
              <w:t xml:space="preserve"> </w:t>
            </w:r>
          </w:p>
        </w:tc>
        <w:tc>
          <w:tcPr>
            <w:tcW w:w="2128" w:type="dxa"/>
            <w:gridSpan w:val="3"/>
            <w:vAlign w:val="center"/>
          </w:tcPr>
          <w:p w14:paraId="6C874032"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层燃锅炉</w:t>
            </w:r>
          </w:p>
          <w:p w14:paraId="1BB6B65A" w14:textId="77777777" w:rsidR="00445F8C" w:rsidRPr="005A6D7F" w:rsidRDefault="00084192">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4B7E5BA8"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Align w:val="center"/>
          </w:tcPr>
          <w:p w14:paraId="498F2861" w14:textId="77777777" w:rsidR="00445F8C" w:rsidRPr="005A6D7F" w:rsidRDefault="00084192">
            <w:pPr>
              <w:pStyle w:val="affa"/>
              <w:ind w:firstLineChars="0" w:firstLine="0"/>
              <w:jc w:val="center"/>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Align w:val="center"/>
          </w:tcPr>
          <w:p w14:paraId="140CDDBE" w14:textId="0D10484A" w:rsidR="00445F8C" w:rsidRPr="005A6D7F" w:rsidRDefault="005A6D7F">
            <w:pPr>
              <w:pStyle w:val="affd"/>
              <w:rPr>
                <w:rFonts w:ascii="Times New Roman" w:eastAsia="仿宋_GB2312"/>
                <w:sz w:val="24"/>
                <w:szCs w:val="24"/>
              </w:rPr>
            </w:pPr>
            <w:r w:rsidRPr="005A6D7F">
              <w:rPr>
                <w:rFonts w:ascii="Times New Roman" w:eastAsia="仿宋_GB2312"/>
                <w:sz w:val="24"/>
                <w:szCs w:val="24"/>
              </w:rPr>
              <w:t>0.15</w:t>
            </w:r>
          </w:p>
        </w:tc>
      </w:tr>
      <w:tr w:rsidR="005A6D7F" w14:paraId="1DA34564" w14:textId="77777777" w:rsidTr="005A6D7F">
        <w:trPr>
          <w:trHeight w:val="822"/>
          <w:jc w:val="center"/>
        </w:trPr>
        <w:tc>
          <w:tcPr>
            <w:tcW w:w="398" w:type="dxa"/>
            <w:vMerge/>
            <w:vAlign w:val="center"/>
          </w:tcPr>
          <w:p w14:paraId="5F84E3D5" w14:textId="77777777" w:rsidR="005A6D7F" w:rsidRPr="005A6D7F" w:rsidRDefault="005A6D7F">
            <w:pPr>
              <w:pStyle w:val="affd"/>
              <w:rPr>
                <w:rFonts w:ascii="Times New Roman" w:eastAsia="仿宋_GB2312"/>
                <w:sz w:val="24"/>
                <w:szCs w:val="24"/>
              </w:rPr>
            </w:pPr>
          </w:p>
        </w:tc>
        <w:tc>
          <w:tcPr>
            <w:tcW w:w="1569" w:type="dxa"/>
            <w:vMerge/>
            <w:vAlign w:val="center"/>
          </w:tcPr>
          <w:p w14:paraId="082543A4" w14:textId="77777777" w:rsidR="005A6D7F" w:rsidRPr="005A6D7F" w:rsidRDefault="005A6D7F">
            <w:pPr>
              <w:pStyle w:val="affd"/>
              <w:rPr>
                <w:rFonts w:ascii="Times New Roman" w:eastAsia="仿宋_GB2312"/>
                <w:sz w:val="24"/>
                <w:szCs w:val="24"/>
              </w:rPr>
            </w:pPr>
          </w:p>
        </w:tc>
        <w:tc>
          <w:tcPr>
            <w:tcW w:w="709" w:type="dxa"/>
            <w:vMerge/>
            <w:vAlign w:val="center"/>
          </w:tcPr>
          <w:p w14:paraId="18A09537" w14:textId="77777777" w:rsidR="005A6D7F" w:rsidRPr="005A6D7F" w:rsidRDefault="005A6D7F">
            <w:pPr>
              <w:pStyle w:val="affd"/>
              <w:rPr>
                <w:rFonts w:ascii="Times New Roman" w:eastAsia="仿宋_GB2312"/>
                <w:sz w:val="24"/>
                <w:szCs w:val="24"/>
              </w:rPr>
            </w:pPr>
          </w:p>
        </w:tc>
        <w:tc>
          <w:tcPr>
            <w:tcW w:w="935" w:type="dxa"/>
            <w:vMerge/>
            <w:vAlign w:val="center"/>
          </w:tcPr>
          <w:p w14:paraId="63892004" w14:textId="77777777" w:rsidR="005A6D7F" w:rsidRPr="005A6D7F" w:rsidRDefault="005A6D7F">
            <w:pPr>
              <w:pStyle w:val="affd"/>
              <w:rPr>
                <w:rFonts w:ascii="Times New Roman" w:eastAsia="仿宋_GB2312"/>
                <w:sz w:val="24"/>
                <w:szCs w:val="24"/>
              </w:rPr>
            </w:pPr>
          </w:p>
        </w:tc>
        <w:tc>
          <w:tcPr>
            <w:tcW w:w="1003" w:type="dxa"/>
            <w:vAlign w:val="center"/>
          </w:tcPr>
          <w:p w14:paraId="1E9E2CC5" w14:textId="573EAD7E" w:rsidR="005A6D7F" w:rsidRPr="005A6D7F" w:rsidRDefault="005A6D7F">
            <w:pPr>
              <w:pStyle w:val="affd"/>
              <w:rPr>
                <w:rFonts w:ascii="Times New Roman" w:eastAsia="仿宋_GB2312"/>
                <w:sz w:val="24"/>
                <w:szCs w:val="24"/>
              </w:rPr>
            </w:pPr>
            <w:r w:rsidRPr="005A6D7F">
              <w:rPr>
                <w:rFonts w:ascii="Times New Roman" w:eastAsia="仿宋_GB2312"/>
                <w:sz w:val="24"/>
                <w:szCs w:val="24"/>
              </w:rPr>
              <w:t>氨逃逸</w:t>
            </w:r>
          </w:p>
        </w:tc>
        <w:tc>
          <w:tcPr>
            <w:tcW w:w="2128" w:type="dxa"/>
            <w:gridSpan w:val="3"/>
            <w:vAlign w:val="center"/>
          </w:tcPr>
          <w:p w14:paraId="0EF50F72" w14:textId="77777777"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层燃锅炉</w:t>
            </w:r>
          </w:p>
          <w:p w14:paraId="6A5E44BB" w14:textId="77777777" w:rsidR="005A6D7F" w:rsidRPr="005A6D7F" w:rsidRDefault="005A6D7F" w:rsidP="005A6D7F">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352849F3" w14:textId="3D7F9C3D" w:rsidR="005A6D7F" w:rsidRPr="005A6D7F" w:rsidRDefault="005A6D7F" w:rsidP="005A6D7F">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Align w:val="center"/>
          </w:tcPr>
          <w:p w14:paraId="65A9B496" w14:textId="198E77BB" w:rsidR="005A6D7F" w:rsidRPr="005A6D7F" w:rsidRDefault="005A6D7F">
            <w:pPr>
              <w:pStyle w:val="affa"/>
              <w:ind w:firstLineChars="0" w:firstLine="0"/>
              <w:jc w:val="center"/>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Align w:val="center"/>
          </w:tcPr>
          <w:p w14:paraId="3A81B902" w14:textId="13269D31" w:rsidR="005A6D7F" w:rsidRPr="005A6D7F" w:rsidRDefault="005A6D7F">
            <w:pPr>
              <w:pStyle w:val="affd"/>
              <w:rPr>
                <w:rFonts w:ascii="Times New Roman" w:eastAsia="仿宋_GB2312"/>
                <w:sz w:val="24"/>
                <w:szCs w:val="24"/>
              </w:rPr>
            </w:pPr>
            <w:r w:rsidRPr="005A6D7F">
              <w:rPr>
                <w:rFonts w:ascii="Times New Roman" w:eastAsia="仿宋_GB2312"/>
                <w:sz w:val="24"/>
                <w:szCs w:val="24"/>
              </w:rPr>
              <w:t>0.15</w:t>
            </w:r>
          </w:p>
        </w:tc>
      </w:tr>
      <w:tr w:rsidR="00445F8C" w14:paraId="7E8AE323" w14:textId="77777777" w:rsidTr="005A6D7F">
        <w:trPr>
          <w:trHeight w:val="822"/>
          <w:jc w:val="center"/>
        </w:trPr>
        <w:tc>
          <w:tcPr>
            <w:tcW w:w="398" w:type="dxa"/>
            <w:vMerge/>
            <w:vAlign w:val="center"/>
          </w:tcPr>
          <w:p w14:paraId="387D430A" w14:textId="77777777" w:rsidR="00445F8C" w:rsidRPr="005A6D7F" w:rsidRDefault="00445F8C">
            <w:pPr>
              <w:pStyle w:val="affd"/>
              <w:rPr>
                <w:rFonts w:ascii="Times New Roman" w:eastAsia="仿宋_GB2312"/>
                <w:sz w:val="24"/>
                <w:szCs w:val="24"/>
              </w:rPr>
            </w:pPr>
          </w:p>
        </w:tc>
        <w:tc>
          <w:tcPr>
            <w:tcW w:w="1569" w:type="dxa"/>
            <w:vMerge/>
            <w:vAlign w:val="center"/>
          </w:tcPr>
          <w:p w14:paraId="3881AEE6" w14:textId="77777777" w:rsidR="00445F8C" w:rsidRPr="005A6D7F" w:rsidRDefault="00445F8C">
            <w:pPr>
              <w:pStyle w:val="affd"/>
              <w:rPr>
                <w:rFonts w:ascii="Times New Roman" w:eastAsia="仿宋_GB2312"/>
                <w:sz w:val="24"/>
                <w:szCs w:val="24"/>
              </w:rPr>
            </w:pPr>
          </w:p>
        </w:tc>
        <w:tc>
          <w:tcPr>
            <w:tcW w:w="709" w:type="dxa"/>
            <w:vMerge/>
            <w:vAlign w:val="center"/>
          </w:tcPr>
          <w:p w14:paraId="621F8658" w14:textId="77777777" w:rsidR="00445F8C" w:rsidRPr="005A6D7F" w:rsidRDefault="00445F8C">
            <w:pPr>
              <w:pStyle w:val="affd"/>
              <w:rPr>
                <w:rFonts w:ascii="Times New Roman" w:eastAsia="仿宋_GB2312"/>
                <w:sz w:val="24"/>
                <w:szCs w:val="24"/>
              </w:rPr>
            </w:pPr>
          </w:p>
        </w:tc>
        <w:tc>
          <w:tcPr>
            <w:tcW w:w="935" w:type="dxa"/>
            <w:vMerge/>
            <w:vAlign w:val="center"/>
          </w:tcPr>
          <w:p w14:paraId="6E71C12C" w14:textId="77777777" w:rsidR="00445F8C" w:rsidRPr="005A6D7F" w:rsidRDefault="00445F8C">
            <w:pPr>
              <w:pStyle w:val="affd"/>
              <w:rPr>
                <w:rFonts w:ascii="Times New Roman" w:eastAsia="仿宋_GB2312"/>
                <w:sz w:val="24"/>
                <w:szCs w:val="24"/>
              </w:rPr>
            </w:pPr>
          </w:p>
        </w:tc>
        <w:tc>
          <w:tcPr>
            <w:tcW w:w="1003" w:type="dxa"/>
            <w:vAlign w:val="center"/>
          </w:tcPr>
          <w:p w14:paraId="1D0CA1B5"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汞及其化合物</w:t>
            </w:r>
          </w:p>
        </w:tc>
        <w:tc>
          <w:tcPr>
            <w:tcW w:w="2128" w:type="dxa"/>
            <w:gridSpan w:val="3"/>
            <w:vAlign w:val="center"/>
          </w:tcPr>
          <w:p w14:paraId="08A465D0"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层燃锅炉</w:t>
            </w:r>
          </w:p>
          <w:p w14:paraId="25E293DD" w14:textId="77777777" w:rsidR="00445F8C" w:rsidRPr="005A6D7F" w:rsidRDefault="00084192">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004F3AB7"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Align w:val="center"/>
          </w:tcPr>
          <w:p w14:paraId="7A8C1F25" w14:textId="77777777" w:rsidR="00445F8C" w:rsidRPr="005A6D7F" w:rsidRDefault="00084192">
            <w:pPr>
              <w:pStyle w:val="affa"/>
              <w:ind w:firstLineChars="0" w:firstLine="0"/>
              <w:jc w:val="center"/>
              <w:rPr>
                <w:rFonts w:ascii="Times New Roman" w:eastAsia="仿宋_GB2312"/>
                <w:sz w:val="24"/>
                <w:szCs w:val="24"/>
              </w:rPr>
            </w:pPr>
            <w:r w:rsidRPr="005A6D7F">
              <w:rPr>
                <w:rFonts w:ascii="Times New Roman" w:eastAsia="仿宋_GB2312"/>
                <w:sz w:val="24"/>
                <w:szCs w:val="24"/>
              </w:rPr>
              <w:t>mg/m</w:t>
            </w:r>
            <w:r w:rsidRPr="005A6D7F">
              <w:rPr>
                <w:rFonts w:ascii="Times New Roman" w:eastAsia="仿宋_GB2312"/>
                <w:sz w:val="24"/>
                <w:szCs w:val="24"/>
                <w:vertAlign w:val="superscript"/>
              </w:rPr>
              <w:t>3</w:t>
            </w:r>
          </w:p>
        </w:tc>
        <w:tc>
          <w:tcPr>
            <w:tcW w:w="717" w:type="dxa"/>
            <w:vAlign w:val="center"/>
          </w:tcPr>
          <w:p w14:paraId="6C93D623" w14:textId="7894B1A3" w:rsidR="00445F8C" w:rsidRPr="005A6D7F" w:rsidRDefault="00084192">
            <w:pPr>
              <w:pStyle w:val="affd"/>
              <w:rPr>
                <w:rFonts w:ascii="Times New Roman" w:eastAsia="仿宋_GB2312"/>
                <w:sz w:val="24"/>
                <w:szCs w:val="24"/>
              </w:rPr>
            </w:pPr>
            <w:r w:rsidRPr="005A6D7F">
              <w:rPr>
                <w:rFonts w:ascii="Times New Roman" w:eastAsia="仿宋_GB2312"/>
                <w:sz w:val="24"/>
                <w:szCs w:val="24"/>
              </w:rPr>
              <w:t>0.1</w:t>
            </w:r>
            <w:r w:rsidR="005A6D7F" w:rsidRPr="005A6D7F">
              <w:rPr>
                <w:rFonts w:ascii="Times New Roman" w:eastAsia="仿宋_GB2312"/>
                <w:sz w:val="24"/>
                <w:szCs w:val="24"/>
              </w:rPr>
              <w:t>5</w:t>
            </w:r>
          </w:p>
        </w:tc>
      </w:tr>
      <w:tr w:rsidR="00445F8C" w14:paraId="694202A8" w14:textId="77777777" w:rsidTr="005A6D7F">
        <w:trPr>
          <w:trHeight w:val="822"/>
          <w:jc w:val="center"/>
        </w:trPr>
        <w:tc>
          <w:tcPr>
            <w:tcW w:w="398" w:type="dxa"/>
            <w:vMerge/>
            <w:vAlign w:val="center"/>
          </w:tcPr>
          <w:p w14:paraId="3138C19B" w14:textId="77777777" w:rsidR="00445F8C" w:rsidRPr="005A6D7F" w:rsidRDefault="00445F8C">
            <w:pPr>
              <w:pStyle w:val="affd"/>
              <w:rPr>
                <w:rFonts w:ascii="Times New Roman" w:eastAsia="仿宋_GB2312"/>
                <w:sz w:val="24"/>
                <w:szCs w:val="24"/>
              </w:rPr>
            </w:pPr>
          </w:p>
        </w:tc>
        <w:tc>
          <w:tcPr>
            <w:tcW w:w="1569" w:type="dxa"/>
            <w:vMerge/>
            <w:vAlign w:val="center"/>
          </w:tcPr>
          <w:p w14:paraId="696835F1" w14:textId="77777777" w:rsidR="00445F8C" w:rsidRPr="005A6D7F" w:rsidRDefault="00445F8C">
            <w:pPr>
              <w:pStyle w:val="affd"/>
              <w:rPr>
                <w:rFonts w:ascii="Times New Roman" w:eastAsia="仿宋_GB2312"/>
                <w:sz w:val="24"/>
                <w:szCs w:val="24"/>
              </w:rPr>
            </w:pPr>
          </w:p>
        </w:tc>
        <w:tc>
          <w:tcPr>
            <w:tcW w:w="709" w:type="dxa"/>
            <w:vMerge/>
            <w:vAlign w:val="center"/>
          </w:tcPr>
          <w:p w14:paraId="5DEA4833" w14:textId="77777777" w:rsidR="00445F8C" w:rsidRPr="005A6D7F" w:rsidRDefault="00445F8C">
            <w:pPr>
              <w:pStyle w:val="affd"/>
              <w:rPr>
                <w:rFonts w:ascii="Times New Roman" w:eastAsia="仿宋_GB2312"/>
                <w:sz w:val="24"/>
                <w:szCs w:val="24"/>
              </w:rPr>
            </w:pPr>
          </w:p>
        </w:tc>
        <w:tc>
          <w:tcPr>
            <w:tcW w:w="935" w:type="dxa"/>
            <w:vMerge/>
            <w:vAlign w:val="center"/>
          </w:tcPr>
          <w:p w14:paraId="7FE0AAB5" w14:textId="77777777" w:rsidR="00445F8C" w:rsidRPr="005A6D7F" w:rsidRDefault="00445F8C">
            <w:pPr>
              <w:pStyle w:val="affd"/>
              <w:rPr>
                <w:rFonts w:ascii="Times New Roman" w:eastAsia="仿宋_GB2312"/>
                <w:sz w:val="24"/>
                <w:szCs w:val="24"/>
              </w:rPr>
            </w:pPr>
          </w:p>
        </w:tc>
        <w:tc>
          <w:tcPr>
            <w:tcW w:w="1003" w:type="dxa"/>
            <w:vAlign w:val="center"/>
          </w:tcPr>
          <w:p w14:paraId="6901EE51" w14:textId="4D65C23D" w:rsidR="00445F8C" w:rsidRPr="005A6D7F" w:rsidRDefault="00084192">
            <w:pPr>
              <w:pStyle w:val="affd"/>
              <w:rPr>
                <w:rFonts w:ascii="Times New Roman" w:eastAsia="仿宋_GB2312"/>
                <w:sz w:val="24"/>
                <w:szCs w:val="24"/>
              </w:rPr>
            </w:pPr>
            <w:r w:rsidRPr="005A6D7F">
              <w:rPr>
                <w:rFonts w:ascii="Times New Roman" w:eastAsia="仿宋_GB2312"/>
                <w:sz w:val="24"/>
                <w:szCs w:val="24"/>
              </w:rPr>
              <w:t>烟气黑度（</w:t>
            </w:r>
            <w:r w:rsidR="009B52FC">
              <w:rPr>
                <w:rFonts w:ascii="Times New Roman" w:eastAsia="仿宋_GB2312" w:hint="eastAsia"/>
                <w:sz w:val="24"/>
                <w:szCs w:val="24"/>
              </w:rPr>
              <w:t>林格</w:t>
            </w:r>
            <w:r w:rsidRPr="005A6D7F">
              <w:rPr>
                <w:rFonts w:ascii="Times New Roman" w:eastAsia="仿宋_GB2312"/>
                <w:sz w:val="24"/>
                <w:szCs w:val="24"/>
              </w:rPr>
              <w:t>曼黑度）</w:t>
            </w:r>
          </w:p>
        </w:tc>
        <w:tc>
          <w:tcPr>
            <w:tcW w:w="2128" w:type="dxa"/>
            <w:gridSpan w:val="3"/>
            <w:vAlign w:val="center"/>
          </w:tcPr>
          <w:p w14:paraId="0A209057"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层燃锅炉</w:t>
            </w:r>
          </w:p>
          <w:p w14:paraId="1E4E1733" w14:textId="77777777" w:rsidR="00445F8C" w:rsidRPr="005A6D7F" w:rsidRDefault="00084192">
            <w:pPr>
              <w:pStyle w:val="affd"/>
              <w:rPr>
                <w:rFonts w:ascii="Times New Roman" w:eastAsia="仿宋_GB2312"/>
                <w:sz w:val="24"/>
                <w:szCs w:val="24"/>
              </w:rPr>
            </w:pPr>
            <w:proofErr w:type="gramStart"/>
            <w:r w:rsidRPr="005A6D7F">
              <w:rPr>
                <w:rFonts w:ascii="Times New Roman" w:eastAsia="仿宋_GB2312"/>
                <w:sz w:val="24"/>
                <w:szCs w:val="24"/>
              </w:rPr>
              <w:t>室燃锅炉</w:t>
            </w:r>
            <w:proofErr w:type="gramEnd"/>
          </w:p>
          <w:p w14:paraId="34DCBED8"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流化床锅炉</w:t>
            </w:r>
          </w:p>
        </w:tc>
        <w:tc>
          <w:tcPr>
            <w:tcW w:w="1462" w:type="dxa"/>
            <w:vAlign w:val="center"/>
          </w:tcPr>
          <w:p w14:paraId="13922A9B" w14:textId="77777777" w:rsidR="00445F8C" w:rsidRPr="005A6D7F" w:rsidRDefault="00084192">
            <w:pPr>
              <w:pStyle w:val="affa"/>
              <w:ind w:firstLineChars="0" w:firstLine="0"/>
              <w:jc w:val="center"/>
              <w:rPr>
                <w:rFonts w:ascii="Times New Roman" w:eastAsia="仿宋_GB2312"/>
                <w:sz w:val="24"/>
                <w:szCs w:val="24"/>
              </w:rPr>
            </w:pPr>
            <w:r w:rsidRPr="005A6D7F">
              <w:rPr>
                <w:rFonts w:ascii="Times New Roman" w:eastAsia="仿宋_GB2312"/>
                <w:sz w:val="24"/>
                <w:szCs w:val="24"/>
              </w:rPr>
              <w:t>级</w:t>
            </w:r>
          </w:p>
        </w:tc>
        <w:tc>
          <w:tcPr>
            <w:tcW w:w="717" w:type="dxa"/>
            <w:vAlign w:val="center"/>
          </w:tcPr>
          <w:p w14:paraId="69793062" w14:textId="77777777" w:rsidR="00445F8C" w:rsidRPr="005A6D7F" w:rsidRDefault="00084192">
            <w:pPr>
              <w:pStyle w:val="affd"/>
              <w:rPr>
                <w:rFonts w:ascii="Times New Roman" w:eastAsia="仿宋_GB2312"/>
                <w:sz w:val="24"/>
                <w:szCs w:val="24"/>
              </w:rPr>
            </w:pPr>
            <w:r w:rsidRPr="005A6D7F">
              <w:rPr>
                <w:rFonts w:ascii="Times New Roman" w:eastAsia="仿宋_GB2312"/>
                <w:sz w:val="24"/>
                <w:szCs w:val="24"/>
              </w:rPr>
              <w:t>0.10</w:t>
            </w:r>
          </w:p>
        </w:tc>
      </w:tr>
      <w:bookmarkEnd w:id="8"/>
      <w:tr w:rsidR="005A6D7F" w14:paraId="3DA7E86C" w14:textId="77777777" w:rsidTr="00084192">
        <w:trPr>
          <w:trHeight w:val="283"/>
          <w:jc w:val="center"/>
        </w:trPr>
        <w:tc>
          <w:tcPr>
            <w:tcW w:w="398" w:type="dxa"/>
            <w:vMerge w:val="restart"/>
            <w:vAlign w:val="center"/>
          </w:tcPr>
          <w:p w14:paraId="246CC5D1" w14:textId="427ADDA6"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6</w:t>
            </w:r>
          </w:p>
        </w:tc>
        <w:tc>
          <w:tcPr>
            <w:tcW w:w="1569" w:type="dxa"/>
            <w:vMerge w:val="restart"/>
            <w:vAlign w:val="center"/>
          </w:tcPr>
          <w:p w14:paraId="7BEDB425" w14:textId="77777777"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固体废弃物产生与处置</w:t>
            </w:r>
          </w:p>
        </w:tc>
        <w:tc>
          <w:tcPr>
            <w:tcW w:w="709" w:type="dxa"/>
            <w:vMerge w:val="restart"/>
            <w:vAlign w:val="center"/>
          </w:tcPr>
          <w:p w14:paraId="6924EBBF" w14:textId="77777777"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0.10</w:t>
            </w:r>
          </w:p>
        </w:tc>
        <w:tc>
          <w:tcPr>
            <w:tcW w:w="4066" w:type="dxa"/>
            <w:gridSpan w:val="5"/>
          </w:tcPr>
          <w:p w14:paraId="4874E56A" w14:textId="28772E5C"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固体废物处置率</w:t>
            </w:r>
          </w:p>
        </w:tc>
        <w:tc>
          <w:tcPr>
            <w:tcW w:w="1462" w:type="dxa"/>
            <w:vAlign w:val="center"/>
          </w:tcPr>
          <w:p w14:paraId="4791E3FB" w14:textId="77777777"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w:t>
            </w:r>
          </w:p>
        </w:tc>
        <w:tc>
          <w:tcPr>
            <w:tcW w:w="717" w:type="dxa"/>
          </w:tcPr>
          <w:p w14:paraId="42E3F12B" w14:textId="669D624D"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0.40</w:t>
            </w:r>
          </w:p>
        </w:tc>
      </w:tr>
      <w:tr w:rsidR="005A6D7F" w14:paraId="56CDE872" w14:textId="77777777" w:rsidTr="00084192">
        <w:trPr>
          <w:trHeight w:val="283"/>
          <w:jc w:val="center"/>
        </w:trPr>
        <w:tc>
          <w:tcPr>
            <w:tcW w:w="398" w:type="dxa"/>
            <w:vMerge/>
            <w:vAlign w:val="center"/>
          </w:tcPr>
          <w:p w14:paraId="6D8C3CFD" w14:textId="77777777" w:rsidR="005A6D7F" w:rsidRPr="009B52FC" w:rsidRDefault="005A6D7F" w:rsidP="005A6D7F">
            <w:pPr>
              <w:pStyle w:val="affd"/>
              <w:rPr>
                <w:rFonts w:ascii="Times New Roman" w:eastAsia="仿宋_GB2312"/>
                <w:sz w:val="24"/>
                <w:szCs w:val="24"/>
              </w:rPr>
            </w:pPr>
          </w:p>
        </w:tc>
        <w:tc>
          <w:tcPr>
            <w:tcW w:w="1569" w:type="dxa"/>
            <w:vMerge/>
            <w:vAlign w:val="center"/>
          </w:tcPr>
          <w:p w14:paraId="380CBA3C" w14:textId="77777777" w:rsidR="005A6D7F" w:rsidRPr="009B52FC" w:rsidRDefault="005A6D7F" w:rsidP="005A6D7F">
            <w:pPr>
              <w:pStyle w:val="affd"/>
              <w:rPr>
                <w:rFonts w:ascii="Times New Roman" w:eastAsia="仿宋_GB2312"/>
                <w:sz w:val="24"/>
                <w:szCs w:val="24"/>
              </w:rPr>
            </w:pPr>
          </w:p>
        </w:tc>
        <w:tc>
          <w:tcPr>
            <w:tcW w:w="709" w:type="dxa"/>
            <w:vMerge/>
            <w:vAlign w:val="center"/>
          </w:tcPr>
          <w:p w14:paraId="5B51613E" w14:textId="77777777" w:rsidR="005A6D7F" w:rsidRPr="009B52FC" w:rsidRDefault="005A6D7F" w:rsidP="005A6D7F">
            <w:pPr>
              <w:pStyle w:val="affd"/>
              <w:rPr>
                <w:rFonts w:ascii="Times New Roman" w:eastAsia="仿宋_GB2312"/>
                <w:sz w:val="24"/>
                <w:szCs w:val="24"/>
              </w:rPr>
            </w:pPr>
          </w:p>
        </w:tc>
        <w:tc>
          <w:tcPr>
            <w:tcW w:w="4066" w:type="dxa"/>
            <w:gridSpan w:val="5"/>
          </w:tcPr>
          <w:p w14:paraId="5C0C725F" w14:textId="79D30FCA"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固体废物资源化利用率</w:t>
            </w:r>
          </w:p>
        </w:tc>
        <w:tc>
          <w:tcPr>
            <w:tcW w:w="1462" w:type="dxa"/>
            <w:vAlign w:val="center"/>
          </w:tcPr>
          <w:p w14:paraId="648C8119" w14:textId="77777777"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w:t>
            </w:r>
          </w:p>
        </w:tc>
        <w:tc>
          <w:tcPr>
            <w:tcW w:w="717" w:type="dxa"/>
          </w:tcPr>
          <w:p w14:paraId="7D418D12" w14:textId="73B6F9F2" w:rsidR="005A6D7F" w:rsidRPr="009B52FC" w:rsidRDefault="005A6D7F" w:rsidP="005A6D7F">
            <w:pPr>
              <w:pStyle w:val="affd"/>
              <w:rPr>
                <w:rFonts w:ascii="Times New Roman" w:eastAsia="仿宋_GB2312"/>
                <w:sz w:val="24"/>
                <w:szCs w:val="24"/>
              </w:rPr>
            </w:pPr>
            <w:r w:rsidRPr="009B52FC">
              <w:rPr>
                <w:rFonts w:ascii="Times New Roman" w:eastAsia="仿宋_GB2312"/>
                <w:sz w:val="24"/>
                <w:szCs w:val="24"/>
              </w:rPr>
              <w:t>0.60</w:t>
            </w:r>
          </w:p>
        </w:tc>
      </w:tr>
      <w:tr w:rsidR="009B52FC" w14:paraId="274A0453" w14:textId="77777777" w:rsidTr="005A6D7F">
        <w:trPr>
          <w:trHeight w:val="283"/>
          <w:jc w:val="center"/>
        </w:trPr>
        <w:tc>
          <w:tcPr>
            <w:tcW w:w="398" w:type="dxa"/>
            <w:vMerge w:val="restart"/>
            <w:vAlign w:val="center"/>
          </w:tcPr>
          <w:p w14:paraId="4E792935" w14:textId="024E73EE" w:rsidR="009B52FC" w:rsidRPr="009B52FC" w:rsidRDefault="009B52FC">
            <w:pPr>
              <w:pStyle w:val="affd"/>
              <w:rPr>
                <w:rFonts w:ascii="Times New Roman" w:eastAsia="仿宋_GB2312"/>
                <w:sz w:val="24"/>
                <w:szCs w:val="24"/>
              </w:rPr>
            </w:pPr>
            <w:bookmarkStart w:id="9" w:name="_Hlk219629724"/>
            <w:r w:rsidRPr="009B52FC">
              <w:rPr>
                <w:rFonts w:ascii="Times New Roman" w:eastAsia="仿宋_GB2312"/>
                <w:sz w:val="24"/>
                <w:szCs w:val="24"/>
              </w:rPr>
              <w:t>7</w:t>
            </w:r>
          </w:p>
        </w:tc>
        <w:tc>
          <w:tcPr>
            <w:tcW w:w="1569" w:type="dxa"/>
            <w:vMerge w:val="restart"/>
            <w:tcBorders>
              <w:top w:val="single" w:sz="4" w:space="0" w:color="auto"/>
            </w:tcBorders>
            <w:vAlign w:val="center"/>
          </w:tcPr>
          <w:p w14:paraId="192EA59B" w14:textId="77777777" w:rsidR="009B52FC" w:rsidRPr="009B52FC" w:rsidRDefault="009B52FC">
            <w:pPr>
              <w:pStyle w:val="affd"/>
              <w:rPr>
                <w:rFonts w:ascii="Times New Roman" w:eastAsia="仿宋_GB2312"/>
                <w:sz w:val="24"/>
                <w:szCs w:val="24"/>
              </w:rPr>
            </w:pPr>
            <w:r w:rsidRPr="009B52FC">
              <w:rPr>
                <w:rFonts w:ascii="Times New Roman" w:eastAsia="仿宋_GB2312"/>
                <w:sz w:val="24"/>
                <w:szCs w:val="24"/>
              </w:rPr>
              <w:t>清洁燃烧管理</w:t>
            </w:r>
          </w:p>
        </w:tc>
        <w:tc>
          <w:tcPr>
            <w:tcW w:w="709" w:type="dxa"/>
            <w:vMerge w:val="restart"/>
            <w:tcBorders>
              <w:top w:val="single" w:sz="4" w:space="0" w:color="auto"/>
            </w:tcBorders>
            <w:vAlign w:val="center"/>
          </w:tcPr>
          <w:p w14:paraId="2D93EC7F" w14:textId="77777777" w:rsidR="009B52FC" w:rsidRPr="009B52FC" w:rsidRDefault="009B52FC">
            <w:pPr>
              <w:pStyle w:val="affd"/>
              <w:rPr>
                <w:rFonts w:ascii="Times New Roman" w:eastAsia="仿宋_GB2312"/>
                <w:sz w:val="24"/>
                <w:szCs w:val="24"/>
              </w:rPr>
            </w:pPr>
            <w:r w:rsidRPr="009B52FC">
              <w:rPr>
                <w:rFonts w:ascii="Times New Roman" w:eastAsia="仿宋_GB2312"/>
                <w:sz w:val="24"/>
                <w:szCs w:val="24"/>
              </w:rPr>
              <w:t>0.05</w:t>
            </w:r>
          </w:p>
        </w:tc>
        <w:tc>
          <w:tcPr>
            <w:tcW w:w="4066" w:type="dxa"/>
            <w:gridSpan w:val="5"/>
            <w:tcBorders>
              <w:top w:val="single" w:sz="4" w:space="0" w:color="auto"/>
              <w:bottom w:val="single" w:sz="4" w:space="0" w:color="auto"/>
            </w:tcBorders>
            <w:vAlign w:val="center"/>
          </w:tcPr>
          <w:p w14:paraId="1EE49F07" w14:textId="3A4E858E" w:rsidR="009B52FC" w:rsidRPr="009B52FC" w:rsidRDefault="009B52FC">
            <w:pPr>
              <w:pStyle w:val="affd"/>
              <w:rPr>
                <w:rFonts w:ascii="Times New Roman" w:eastAsia="仿宋_GB2312"/>
                <w:sz w:val="24"/>
                <w:szCs w:val="24"/>
              </w:rPr>
            </w:pPr>
            <w:r w:rsidRPr="009B52FC">
              <w:rPr>
                <w:rFonts w:ascii="Times New Roman" w:eastAsia="仿宋_GB2312"/>
                <w:sz w:val="24"/>
                <w:szCs w:val="24"/>
              </w:rPr>
              <w:t>产业政策符合性</w:t>
            </w:r>
          </w:p>
        </w:tc>
        <w:tc>
          <w:tcPr>
            <w:tcW w:w="1462" w:type="dxa"/>
            <w:tcBorders>
              <w:top w:val="single" w:sz="4" w:space="0" w:color="auto"/>
              <w:bottom w:val="single" w:sz="4" w:space="0" w:color="auto"/>
            </w:tcBorders>
            <w:vAlign w:val="center"/>
          </w:tcPr>
          <w:p w14:paraId="43B58FAF" w14:textId="77777777" w:rsidR="009B52FC" w:rsidRPr="009B52FC" w:rsidRDefault="009B52FC">
            <w:pPr>
              <w:pStyle w:val="affd"/>
              <w:rPr>
                <w:rFonts w:ascii="Times New Roman" w:eastAsia="仿宋_GB2312"/>
                <w:sz w:val="24"/>
                <w:szCs w:val="24"/>
              </w:rPr>
            </w:pPr>
            <w:r w:rsidRPr="009B52FC">
              <w:rPr>
                <w:rFonts w:ascii="Times New Roman" w:eastAsia="仿宋_GB2312"/>
                <w:sz w:val="24"/>
                <w:szCs w:val="24"/>
              </w:rPr>
              <w:t>/</w:t>
            </w:r>
          </w:p>
        </w:tc>
        <w:tc>
          <w:tcPr>
            <w:tcW w:w="717" w:type="dxa"/>
            <w:tcBorders>
              <w:top w:val="single" w:sz="4" w:space="0" w:color="auto"/>
              <w:bottom w:val="single" w:sz="4" w:space="0" w:color="auto"/>
            </w:tcBorders>
            <w:vAlign w:val="center"/>
          </w:tcPr>
          <w:p w14:paraId="2755F2A2" w14:textId="77777777" w:rsidR="009B52FC" w:rsidRPr="009B52FC" w:rsidRDefault="009B52FC">
            <w:pPr>
              <w:pStyle w:val="affd"/>
              <w:rPr>
                <w:rFonts w:ascii="Times New Roman" w:eastAsia="仿宋_GB2312"/>
                <w:sz w:val="24"/>
                <w:szCs w:val="24"/>
              </w:rPr>
            </w:pPr>
            <w:r w:rsidRPr="009B52FC">
              <w:rPr>
                <w:rFonts w:ascii="Times New Roman" w:eastAsia="仿宋_GB2312"/>
                <w:sz w:val="24"/>
                <w:szCs w:val="24"/>
              </w:rPr>
              <w:t>0.20</w:t>
            </w:r>
          </w:p>
        </w:tc>
      </w:tr>
      <w:tr w:rsidR="009B52FC" w14:paraId="0E28163F" w14:textId="77777777" w:rsidTr="009B52FC">
        <w:trPr>
          <w:trHeight w:val="95"/>
          <w:jc w:val="center"/>
        </w:trPr>
        <w:tc>
          <w:tcPr>
            <w:tcW w:w="398" w:type="dxa"/>
            <w:vMerge/>
            <w:vAlign w:val="center"/>
          </w:tcPr>
          <w:p w14:paraId="5D94A4F7" w14:textId="77777777" w:rsidR="009B52FC" w:rsidRPr="009B52FC" w:rsidRDefault="009B52FC">
            <w:pPr>
              <w:pStyle w:val="affd"/>
              <w:rPr>
                <w:rFonts w:ascii="Times New Roman" w:eastAsia="仿宋_GB2312"/>
                <w:sz w:val="24"/>
                <w:szCs w:val="24"/>
              </w:rPr>
            </w:pPr>
          </w:p>
        </w:tc>
        <w:tc>
          <w:tcPr>
            <w:tcW w:w="1569" w:type="dxa"/>
            <w:vMerge/>
            <w:vAlign w:val="center"/>
          </w:tcPr>
          <w:p w14:paraId="2A897624" w14:textId="77777777" w:rsidR="009B52FC" w:rsidRPr="009B52FC" w:rsidRDefault="009B52FC">
            <w:pPr>
              <w:pStyle w:val="affd"/>
              <w:rPr>
                <w:rFonts w:ascii="Times New Roman" w:eastAsia="仿宋_GB2312"/>
                <w:sz w:val="24"/>
                <w:szCs w:val="24"/>
              </w:rPr>
            </w:pPr>
          </w:p>
        </w:tc>
        <w:tc>
          <w:tcPr>
            <w:tcW w:w="709" w:type="dxa"/>
            <w:vMerge/>
            <w:vAlign w:val="center"/>
          </w:tcPr>
          <w:p w14:paraId="768617D2" w14:textId="77777777" w:rsidR="009B52FC" w:rsidRPr="009B52FC" w:rsidRDefault="009B52FC">
            <w:pPr>
              <w:pStyle w:val="affd"/>
              <w:rPr>
                <w:rFonts w:ascii="Times New Roman" w:eastAsia="仿宋_GB2312"/>
                <w:sz w:val="24"/>
                <w:szCs w:val="24"/>
              </w:rPr>
            </w:pPr>
          </w:p>
        </w:tc>
        <w:tc>
          <w:tcPr>
            <w:tcW w:w="2033" w:type="dxa"/>
            <w:gridSpan w:val="4"/>
            <w:vMerge w:val="restart"/>
            <w:tcBorders>
              <w:top w:val="single" w:sz="4" w:space="0" w:color="auto"/>
            </w:tcBorders>
            <w:vAlign w:val="center"/>
          </w:tcPr>
          <w:p w14:paraId="6873C898" w14:textId="3682706D" w:rsidR="009B52FC" w:rsidRPr="009B52FC" w:rsidRDefault="009B52FC">
            <w:pPr>
              <w:pStyle w:val="affd"/>
              <w:rPr>
                <w:rFonts w:ascii="Times New Roman" w:eastAsia="仿宋_GB2312"/>
                <w:sz w:val="24"/>
                <w:szCs w:val="24"/>
              </w:rPr>
            </w:pPr>
            <w:r w:rsidRPr="009B52FC">
              <w:rPr>
                <w:rFonts w:ascii="Times New Roman" w:eastAsia="仿宋_GB2312"/>
                <w:sz w:val="24"/>
                <w:szCs w:val="24"/>
              </w:rPr>
              <w:t>环境管理</w:t>
            </w:r>
          </w:p>
        </w:tc>
        <w:tc>
          <w:tcPr>
            <w:tcW w:w="2033" w:type="dxa"/>
            <w:tcBorders>
              <w:top w:val="single" w:sz="4" w:space="0" w:color="auto"/>
            </w:tcBorders>
            <w:vAlign w:val="center"/>
          </w:tcPr>
          <w:p w14:paraId="114CBDD7" w14:textId="245A27A6" w:rsidR="009B52FC" w:rsidRPr="009B52FC" w:rsidRDefault="009B52FC">
            <w:pPr>
              <w:pStyle w:val="affd"/>
              <w:rPr>
                <w:rFonts w:ascii="Times New Roman" w:eastAsia="仿宋_GB2312"/>
                <w:sz w:val="24"/>
                <w:szCs w:val="24"/>
              </w:rPr>
            </w:pPr>
            <w:r w:rsidRPr="009B52FC">
              <w:rPr>
                <w:rFonts w:ascii="Times New Roman" w:eastAsia="仿宋_GB2312"/>
                <w:sz w:val="24"/>
                <w:szCs w:val="24"/>
              </w:rPr>
              <w:t>管理体系</w:t>
            </w:r>
          </w:p>
        </w:tc>
        <w:tc>
          <w:tcPr>
            <w:tcW w:w="1462" w:type="dxa"/>
            <w:vMerge w:val="restart"/>
            <w:tcBorders>
              <w:top w:val="single" w:sz="4" w:space="0" w:color="auto"/>
            </w:tcBorders>
            <w:vAlign w:val="center"/>
          </w:tcPr>
          <w:p w14:paraId="481B9FF8" w14:textId="77777777" w:rsidR="009B52FC" w:rsidRPr="009B52FC" w:rsidRDefault="009B52FC">
            <w:pPr>
              <w:pStyle w:val="affd"/>
              <w:rPr>
                <w:rFonts w:ascii="Times New Roman" w:eastAsia="仿宋_GB2312"/>
                <w:sz w:val="24"/>
                <w:szCs w:val="24"/>
              </w:rPr>
            </w:pPr>
            <w:r w:rsidRPr="009B52FC">
              <w:rPr>
                <w:rFonts w:ascii="Times New Roman" w:eastAsia="仿宋_GB2312"/>
                <w:sz w:val="24"/>
                <w:szCs w:val="24"/>
              </w:rPr>
              <w:t>/</w:t>
            </w:r>
          </w:p>
        </w:tc>
        <w:tc>
          <w:tcPr>
            <w:tcW w:w="717" w:type="dxa"/>
            <w:tcBorders>
              <w:top w:val="single" w:sz="4" w:space="0" w:color="auto"/>
            </w:tcBorders>
            <w:vAlign w:val="center"/>
          </w:tcPr>
          <w:p w14:paraId="66D4D624" w14:textId="1A16C3C1" w:rsidR="009B52FC" w:rsidRPr="009B52FC" w:rsidRDefault="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6DC3373E" w14:textId="77777777" w:rsidTr="00084192">
        <w:trPr>
          <w:trHeight w:val="94"/>
          <w:jc w:val="center"/>
        </w:trPr>
        <w:tc>
          <w:tcPr>
            <w:tcW w:w="398" w:type="dxa"/>
            <w:vMerge/>
            <w:vAlign w:val="center"/>
          </w:tcPr>
          <w:p w14:paraId="6EEEC965"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59B11516"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7982CE52" w14:textId="77777777" w:rsidR="009B52FC" w:rsidRPr="009B52FC" w:rsidRDefault="009B52FC" w:rsidP="009B52FC">
            <w:pPr>
              <w:pStyle w:val="affd"/>
              <w:rPr>
                <w:rFonts w:ascii="Times New Roman" w:eastAsia="仿宋_GB2312"/>
                <w:sz w:val="24"/>
                <w:szCs w:val="24"/>
              </w:rPr>
            </w:pPr>
          </w:p>
        </w:tc>
        <w:tc>
          <w:tcPr>
            <w:tcW w:w="2033" w:type="dxa"/>
            <w:gridSpan w:val="4"/>
            <w:vMerge/>
            <w:vAlign w:val="center"/>
          </w:tcPr>
          <w:p w14:paraId="2A321E1F" w14:textId="77777777" w:rsidR="009B52FC" w:rsidRPr="009B52FC" w:rsidRDefault="009B52FC" w:rsidP="009B52FC">
            <w:pPr>
              <w:pStyle w:val="affd"/>
              <w:rPr>
                <w:rFonts w:ascii="Times New Roman" w:eastAsia="仿宋_GB2312"/>
                <w:sz w:val="24"/>
                <w:szCs w:val="24"/>
              </w:rPr>
            </w:pPr>
          </w:p>
        </w:tc>
        <w:tc>
          <w:tcPr>
            <w:tcW w:w="2033" w:type="dxa"/>
            <w:tcBorders>
              <w:top w:val="single" w:sz="4" w:space="0" w:color="auto"/>
            </w:tcBorders>
            <w:vAlign w:val="center"/>
          </w:tcPr>
          <w:p w14:paraId="5FBA4854" w14:textId="0A73A502"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管理平台</w:t>
            </w:r>
          </w:p>
        </w:tc>
        <w:tc>
          <w:tcPr>
            <w:tcW w:w="1462" w:type="dxa"/>
            <w:vMerge/>
            <w:vAlign w:val="center"/>
          </w:tcPr>
          <w:p w14:paraId="087599C8" w14:textId="77777777" w:rsidR="009B52FC" w:rsidRPr="009B52FC" w:rsidRDefault="009B52FC" w:rsidP="009B52FC">
            <w:pPr>
              <w:pStyle w:val="affd"/>
              <w:rPr>
                <w:rFonts w:ascii="Times New Roman" w:eastAsia="仿宋_GB2312"/>
                <w:sz w:val="24"/>
                <w:szCs w:val="24"/>
              </w:rPr>
            </w:pPr>
          </w:p>
        </w:tc>
        <w:tc>
          <w:tcPr>
            <w:tcW w:w="717" w:type="dxa"/>
            <w:vAlign w:val="center"/>
          </w:tcPr>
          <w:p w14:paraId="22994A46" w14:textId="3905D1D1"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23CFC757" w14:textId="77777777" w:rsidTr="00084192">
        <w:trPr>
          <w:trHeight w:val="94"/>
          <w:jc w:val="center"/>
        </w:trPr>
        <w:tc>
          <w:tcPr>
            <w:tcW w:w="398" w:type="dxa"/>
            <w:vMerge/>
            <w:vAlign w:val="center"/>
          </w:tcPr>
          <w:p w14:paraId="752B413A"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17724A14"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1690AC6C" w14:textId="77777777" w:rsidR="009B52FC" w:rsidRPr="009B52FC" w:rsidRDefault="009B52FC" w:rsidP="009B52FC">
            <w:pPr>
              <w:pStyle w:val="affd"/>
              <w:rPr>
                <w:rFonts w:ascii="Times New Roman" w:eastAsia="仿宋_GB2312"/>
                <w:sz w:val="24"/>
                <w:szCs w:val="24"/>
              </w:rPr>
            </w:pPr>
          </w:p>
        </w:tc>
        <w:tc>
          <w:tcPr>
            <w:tcW w:w="2033" w:type="dxa"/>
            <w:gridSpan w:val="4"/>
            <w:vMerge/>
            <w:vAlign w:val="center"/>
          </w:tcPr>
          <w:p w14:paraId="473365D4" w14:textId="77777777" w:rsidR="009B52FC" w:rsidRPr="009B52FC" w:rsidRDefault="009B52FC" w:rsidP="009B52FC">
            <w:pPr>
              <w:pStyle w:val="affd"/>
              <w:rPr>
                <w:rFonts w:ascii="Times New Roman" w:eastAsia="仿宋_GB2312"/>
                <w:sz w:val="24"/>
                <w:szCs w:val="24"/>
              </w:rPr>
            </w:pPr>
          </w:p>
        </w:tc>
        <w:tc>
          <w:tcPr>
            <w:tcW w:w="2033" w:type="dxa"/>
            <w:tcBorders>
              <w:top w:val="single" w:sz="4" w:space="0" w:color="auto"/>
            </w:tcBorders>
            <w:vAlign w:val="center"/>
          </w:tcPr>
          <w:p w14:paraId="19D65181" w14:textId="118DE78A"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风险管理</w:t>
            </w:r>
          </w:p>
        </w:tc>
        <w:tc>
          <w:tcPr>
            <w:tcW w:w="1462" w:type="dxa"/>
            <w:vMerge/>
            <w:vAlign w:val="center"/>
          </w:tcPr>
          <w:p w14:paraId="4E019362" w14:textId="77777777" w:rsidR="009B52FC" w:rsidRPr="009B52FC" w:rsidRDefault="009B52FC" w:rsidP="009B52FC">
            <w:pPr>
              <w:pStyle w:val="affd"/>
              <w:rPr>
                <w:rFonts w:ascii="Times New Roman" w:eastAsia="仿宋_GB2312"/>
                <w:sz w:val="24"/>
                <w:szCs w:val="24"/>
              </w:rPr>
            </w:pPr>
          </w:p>
        </w:tc>
        <w:tc>
          <w:tcPr>
            <w:tcW w:w="717" w:type="dxa"/>
            <w:vAlign w:val="center"/>
          </w:tcPr>
          <w:p w14:paraId="2D80086B" w14:textId="2F4F1120"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0D76C1C5" w14:textId="77777777" w:rsidTr="00084192">
        <w:trPr>
          <w:trHeight w:val="95"/>
          <w:jc w:val="center"/>
        </w:trPr>
        <w:tc>
          <w:tcPr>
            <w:tcW w:w="398" w:type="dxa"/>
            <w:vMerge/>
            <w:vAlign w:val="center"/>
          </w:tcPr>
          <w:p w14:paraId="32EA2955"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5C406F6E"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2EFFA8BA" w14:textId="77777777" w:rsidR="009B52FC" w:rsidRPr="009B52FC" w:rsidRDefault="009B52FC" w:rsidP="009B52FC">
            <w:pPr>
              <w:pStyle w:val="affd"/>
              <w:rPr>
                <w:rFonts w:ascii="Times New Roman" w:eastAsia="仿宋_GB2312"/>
                <w:sz w:val="24"/>
                <w:szCs w:val="24"/>
              </w:rPr>
            </w:pPr>
          </w:p>
        </w:tc>
        <w:tc>
          <w:tcPr>
            <w:tcW w:w="2033" w:type="dxa"/>
            <w:gridSpan w:val="4"/>
            <w:vMerge w:val="restart"/>
            <w:vAlign w:val="center"/>
          </w:tcPr>
          <w:p w14:paraId="5C162543" w14:textId="398493E9"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能源与低碳管理</w:t>
            </w:r>
          </w:p>
        </w:tc>
        <w:tc>
          <w:tcPr>
            <w:tcW w:w="2033" w:type="dxa"/>
          </w:tcPr>
          <w:p w14:paraId="20F8B247" w14:textId="6FDAAB72"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管理体系</w:t>
            </w:r>
          </w:p>
        </w:tc>
        <w:tc>
          <w:tcPr>
            <w:tcW w:w="1462" w:type="dxa"/>
            <w:vMerge w:val="restart"/>
            <w:vAlign w:val="center"/>
          </w:tcPr>
          <w:p w14:paraId="7FDC04F0" w14:textId="77777777"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w:t>
            </w:r>
          </w:p>
        </w:tc>
        <w:tc>
          <w:tcPr>
            <w:tcW w:w="717" w:type="dxa"/>
            <w:vAlign w:val="center"/>
          </w:tcPr>
          <w:p w14:paraId="36B65F67" w14:textId="744947F5"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35748AA2" w14:textId="77777777" w:rsidTr="00084192">
        <w:trPr>
          <w:trHeight w:val="94"/>
          <w:jc w:val="center"/>
        </w:trPr>
        <w:tc>
          <w:tcPr>
            <w:tcW w:w="398" w:type="dxa"/>
            <w:vMerge/>
            <w:vAlign w:val="center"/>
          </w:tcPr>
          <w:p w14:paraId="47F837E0"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18847162"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2BFE6A62" w14:textId="77777777" w:rsidR="009B52FC" w:rsidRPr="009B52FC" w:rsidRDefault="009B52FC" w:rsidP="009B52FC">
            <w:pPr>
              <w:pStyle w:val="affd"/>
              <w:rPr>
                <w:rFonts w:ascii="Times New Roman" w:eastAsia="仿宋_GB2312"/>
                <w:sz w:val="24"/>
                <w:szCs w:val="24"/>
              </w:rPr>
            </w:pPr>
          </w:p>
        </w:tc>
        <w:tc>
          <w:tcPr>
            <w:tcW w:w="2033" w:type="dxa"/>
            <w:gridSpan w:val="4"/>
            <w:vMerge/>
            <w:vAlign w:val="center"/>
          </w:tcPr>
          <w:p w14:paraId="5A440AC4" w14:textId="77777777" w:rsidR="009B52FC" w:rsidRPr="009B52FC" w:rsidRDefault="009B52FC" w:rsidP="009B52FC">
            <w:pPr>
              <w:pStyle w:val="affd"/>
              <w:rPr>
                <w:rFonts w:ascii="Times New Roman" w:eastAsia="仿宋_GB2312"/>
                <w:sz w:val="24"/>
                <w:szCs w:val="24"/>
              </w:rPr>
            </w:pPr>
          </w:p>
        </w:tc>
        <w:tc>
          <w:tcPr>
            <w:tcW w:w="2033" w:type="dxa"/>
          </w:tcPr>
          <w:p w14:paraId="7F5DE0E2" w14:textId="32F03392"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管理平台</w:t>
            </w:r>
          </w:p>
        </w:tc>
        <w:tc>
          <w:tcPr>
            <w:tcW w:w="1462" w:type="dxa"/>
            <w:vMerge/>
            <w:vAlign w:val="center"/>
          </w:tcPr>
          <w:p w14:paraId="4F893C94" w14:textId="77777777" w:rsidR="009B52FC" w:rsidRPr="009B52FC" w:rsidRDefault="009B52FC" w:rsidP="009B52FC">
            <w:pPr>
              <w:pStyle w:val="affd"/>
              <w:rPr>
                <w:rFonts w:ascii="Times New Roman" w:eastAsia="仿宋_GB2312"/>
                <w:sz w:val="24"/>
                <w:szCs w:val="24"/>
              </w:rPr>
            </w:pPr>
          </w:p>
        </w:tc>
        <w:tc>
          <w:tcPr>
            <w:tcW w:w="717" w:type="dxa"/>
            <w:vAlign w:val="center"/>
          </w:tcPr>
          <w:p w14:paraId="5EE5EAFB" w14:textId="471E9232"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06B20B43" w14:textId="77777777" w:rsidTr="00084192">
        <w:trPr>
          <w:trHeight w:val="94"/>
          <w:jc w:val="center"/>
        </w:trPr>
        <w:tc>
          <w:tcPr>
            <w:tcW w:w="398" w:type="dxa"/>
            <w:vMerge/>
            <w:vAlign w:val="center"/>
          </w:tcPr>
          <w:p w14:paraId="52F72E76"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6FBE34E3"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6EFFE85D" w14:textId="77777777" w:rsidR="009B52FC" w:rsidRPr="009B52FC" w:rsidRDefault="009B52FC" w:rsidP="009B52FC">
            <w:pPr>
              <w:pStyle w:val="affd"/>
              <w:rPr>
                <w:rFonts w:ascii="Times New Roman" w:eastAsia="仿宋_GB2312"/>
                <w:sz w:val="24"/>
                <w:szCs w:val="24"/>
              </w:rPr>
            </w:pPr>
          </w:p>
        </w:tc>
        <w:tc>
          <w:tcPr>
            <w:tcW w:w="2033" w:type="dxa"/>
            <w:gridSpan w:val="4"/>
            <w:vMerge/>
            <w:vAlign w:val="center"/>
          </w:tcPr>
          <w:p w14:paraId="6A823A62" w14:textId="77777777" w:rsidR="009B52FC" w:rsidRPr="009B52FC" w:rsidRDefault="009B52FC" w:rsidP="009B52FC">
            <w:pPr>
              <w:pStyle w:val="affd"/>
              <w:rPr>
                <w:rFonts w:ascii="Times New Roman" w:eastAsia="仿宋_GB2312"/>
                <w:sz w:val="24"/>
                <w:szCs w:val="24"/>
              </w:rPr>
            </w:pPr>
          </w:p>
        </w:tc>
        <w:tc>
          <w:tcPr>
            <w:tcW w:w="2033" w:type="dxa"/>
          </w:tcPr>
          <w:p w14:paraId="2106B285" w14:textId="43F724F5"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计量器具</w:t>
            </w:r>
          </w:p>
        </w:tc>
        <w:tc>
          <w:tcPr>
            <w:tcW w:w="1462" w:type="dxa"/>
            <w:vMerge/>
            <w:vAlign w:val="center"/>
          </w:tcPr>
          <w:p w14:paraId="18FB67E5" w14:textId="77777777" w:rsidR="009B52FC" w:rsidRPr="009B52FC" w:rsidRDefault="009B52FC" w:rsidP="009B52FC">
            <w:pPr>
              <w:pStyle w:val="affd"/>
              <w:rPr>
                <w:rFonts w:ascii="Times New Roman" w:eastAsia="仿宋_GB2312"/>
                <w:sz w:val="24"/>
                <w:szCs w:val="24"/>
              </w:rPr>
            </w:pPr>
          </w:p>
        </w:tc>
        <w:tc>
          <w:tcPr>
            <w:tcW w:w="717" w:type="dxa"/>
            <w:vAlign w:val="center"/>
          </w:tcPr>
          <w:p w14:paraId="7FCD6BEB" w14:textId="7ADB6DB0"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4424BB96" w14:textId="77777777" w:rsidTr="009B52FC">
        <w:trPr>
          <w:trHeight w:val="181"/>
          <w:jc w:val="center"/>
        </w:trPr>
        <w:tc>
          <w:tcPr>
            <w:tcW w:w="398" w:type="dxa"/>
            <w:vMerge/>
            <w:vAlign w:val="center"/>
          </w:tcPr>
          <w:p w14:paraId="1FF463C2"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7DA3BDFF"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0DBCEC81" w14:textId="77777777" w:rsidR="009B52FC" w:rsidRPr="009B52FC" w:rsidRDefault="009B52FC" w:rsidP="009B52FC">
            <w:pPr>
              <w:pStyle w:val="affd"/>
              <w:rPr>
                <w:rFonts w:ascii="Times New Roman" w:eastAsia="仿宋_GB2312"/>
                <w:sz w:val="24"/>
                <w:szCs w:val="24"/>
              </w:rPr>
            </w:pPr>
          </w:p>
        </w:tc>
        <w:tc>
          <w:tcPr>
            <w:tcW w:w="2033" w:type="dxa"/>
            <w:gridSpan w:val="4"/>
            <w:vMerge w:val="restart"/>
            <w:vAlign w:val="center"/>
          </w:tcPr>
          <w:p w14:paraId="14D15BC1" w14:textId="2B937DD1"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清洁燃烧机构设置与管理制度</w:t>
            </w:r>
          </w:p>
        </w:tc>
        <w:tc>
          <w:tcPr>
            <w:tcW w:w="2033" w:type="dxa"/>
          </w:tcPr>
          <w:p w14:paraId="23C9D6EC" w14:textId="631E7F9D"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组织机构</w:t>
            </w:r>
          </w:p>
        </w:tc>
        <w:tc>
          <w:tcPr>
            <w:tcW w:w="1462" w:type="dxa"/>
            <w:vMerge w:val="restart"/>
            <w:vAlign w:val="center"/>
          </w:tcPr>
          <w:p w14:paraId="1146EF35" w14:textId="77777777"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w:t>
            </w:r>
          </w:p>
        </w:tc>
        <w:tc>
          <w:tcPr>
            <w:tcW w:w="717" w:type="dxa"/>
            <w:vAlign w:val="center"/>
          </w:tcPr>
          <w:p w14:paraId="69538511" w14:textId="45EF28D6"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r w:rsidR="009B52FC" w14:paraId="7B336ECB" w14:textId="77777777" w:rsidTr="009B52FC">
        <w:trPr>
          <w:trHeight w:val="46"/>
          <w:jc w:val="center"/>
        </w:trPr>
        <w:tc>
          <w:tcPr>
            <w:tcW w:w="398" w:type="dxa"/>
            <w:vMerge/>
            <w:vAlign w:val="center"/>
          </w:tcPr>
          <w:p w14:paraId="3802A7A2" w14:textId="77777777" w:rsidR="009B52FC" w:rsidRPr="009B52FC" w:rsidRDefault="009B52FC" w:rsidP="009B52FC">
            <w:pPr>
              <w:pStyle w:val="affd"/>
              <w:rPr>
                <w:rFonts w:ascii="Times New Roman" w:eastAsia="仿宋_GB2312"/>
                <w:sz w:val="24"/>
                <w:szCs w:val="24"/>
              </w:rPr>
            </w:pPr>
          </w:p>
        </w:tc>
        <w:tc>
          <w:tcPr>
            <w:tcW w:w="1569" w:type="dxa"/>
            <w:vMerge/>
            <w:vAlign w:val="center"/>
          </w:tcPr>
          <w:p w14:paraId="58E5C22C" w14:textId="77777777" w:rsidR="009B52FC" w:rsidRPr="009B52FC" w:rsidRDefault="009B52FC" w:rsidP="009B52FC">
            <w:pPr>
              <w:pStyle w:val="affd"/>
              <w:rPr>
                <w:rFonts w:ascii="Times New Roman" w:eastAsia="仿宋_GB2312"/>
                <w:sz w:val="24"/>
                <w:szCs w:val="24"/>
              </w:rPr>
            </w:pPr>
          </w:p>
        </w:tc>
        <w:tc>
          <w:tcPr>
            <w:tcW w:w="709" w:type="dxa"/>
            <w:vMerge/>
            <w:vAlign w:val="center"/>
          </w:tcPr>
          <w:p w14:paraId="01570767" w14:textId="77777777" w:rsidR="009B52FC" w:rsidRPr="009B52FC" w:rsidRDefault="009B52FC" w:rsidP="009B52FC">
            <w:pPr>
              <w:pStyle w:val="affd"/>
              <w:rPr>
                <w:rFonts w:ascii="Times New Roman" w:eastAsia="仿宋_GB2312"/>
                <w:sz w:val="24"/>
                <w:szCs w:val="24"/>
              </w:rPr>
            </w:pPr>
          </w:p>
        </w:tc>
        <w:tc>
          <w:tcPr>
            <w:tcW w:w="2033" w:type="dxa"/>
            <w:gridSpan w:val="4"/>
            <w:vMerge/>
            <w:vAlign w:val="center"/>
          </w:tcPr>
          <w:p w14:paraId="02C39FBC" w14:textId="77777777" w:rsidR="009B52FC" w:rsidRPr="009B52FC" w:rsidRDefault="009B52FC" w:rsidP="009B52FC">
            <w:pPr>
              <w:pStyle w:val="affd"/>
              <w:rPr>
                <w:rFonts w:ascii="Times New Roman" w:eastAsia="仿宋_GB2312"/>
                <w:sz w:val="24"/>
                <w:szCs w:val="24"/>
              </w:rPr>
            </w:pPr>
          </w:p>
        </w:tc>
        <w:tc>
          <w:tcPr>
            <w:tcW w:w="2033" w:type="dxa"/>
          </w:tcPr>
          <w:p w14:paraId="25D3B44F" w14:textId="24129868"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管理制度</w:t>
            </w:r>
          </w:p>
        </w:tc>
        <w:tc>
          <w:tcPr>
            <w:tcW w:w="1462" w:type="dxa"/>
            <w:vMerge/>
            <w:vAlign w:val="center"/>
          </w:tcPr>
          <w:p w14:paraId="45B904D7" w14:textId="77777777" w:rsidR="009B52FC" w:rsidRPr="009B52FC" w:rsidRDefault="009B52FC" w:rsidP="009B52FC">
            <w:pPr>
              <w:pStyle w:val="affd"/>
              <w:rPr>
                <w:rFonts w:ascii="Times New Roman" w:eastAsia="仿宋_GB2312"/>
                <w:sz w:val="24"/>
                <w:szCs w:val="24"/>
              </w:rPr>
            </w:pPr>
          </w:p>
        </w:tc>
        <w:tc>
          <w:tcPr>
            <w:tcW w:w="717" w:type="dxa"/>
            <w:vAlign w:val="center"/>
          </w:tcPr>
          <w:p w14:paraId="65FB77E5" w14:textId="3228F666" w:rsidR="009B52FC" w:rsidRPr="009B52FC" w:rsidRDefault="009B52FC" w:rsidP="009B52FC">
            <w:pPr>
              <w:pStyle w:val="affd"/>
              <w:rPr>
                <w:rFonts w:ascii="Times New Roman" w:eastAsia="仿宋_GB2312"/>
                <w:sz w:val="24"/>
                <w:szCs w:val="24"/>
              </w:rPr>
            </w:pPr>
            <w:r w:rsidRPr="009B52FC">
              <w:rPr>
                <w:rFonts w:ascii="Times New Roman" w:eastAsia="仿宋_GB2312"/>
                <w:sz w:val="24"/>
                <w:szCs w:val="24"/>
              </w:rPr>
              <w:t>0.10</w:t>
            </w:r>
          </w:p>
        </w:tc>
      </w:tr>
    </w:tbl>
    <w:bookmarkEnd w:id="9"/>
    <w:p w14:paraId="5695360F" w14:textId="77777777" w:rsidR="00445F8C" w:rsidRDefault="00084192">
      <w:pPr>
        <w:autoSpaceDE w:val="0"/>
        <w:autoSpaceDN w:val="0"/>
        <w:adjustRightInd w:val="0"/>
        <w:spacing w:line="560" w:lineRule="exact"/>
        <w:ind w:firstLine="640"/>
        <w:jc w:val="left"/>
        <w:rPr>
          <w:szCs w:val="32"/>
        </w:rPr>
      </w:pPr>
      <w:r>
        <w:rPr>
          <w:szCs w:val="32"/>
        </w:rPr>
        <w:t>不同清洁燃烧指标由于量纲不同，不能直接比较，需要建立原始指标的隶属函数。</w:t>
      </w:r>
    </w:p>
    <w:p w14:paraId="3547C6CD" w14:textId="77777777" w:rsidR="00445F8C" w:rsidRDefault="00084192">
      <w:pPr>
        <w:pStyle w:val="affb"/>
        <w:ind w:firstLine="640"/>
        <w:jc w:val="center"/>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sub>
        </m:sSub>
        <m:d>
          <m:dPr>
            <m:ctrlPr>
              <w:rPr>
                <w:rFonts w:ascii="Cambria Math" w:eastAsia="仿宋_GB2312" w:hAnsi="Cambria Math" w:cs="Times New Roman"/>
                <w:color w:val="auto"/>
                <w:sz w:val="32"/>
                <w:szCs w:val="32"/>
              </w:rPr>
            </m:ctrlPr>
          </m:dPr>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e>
        </m:d>
        <m:r>
          <m:rPr>
            <m:sty m:val="p"/>
          </m:rPr>
          <w:rPr>
            <w:rFonts w:ascii="Cambria Math" w:eastAsia="仿宋_GB2312" w:hAnsi="Cambria Math" w:cs="Times New Roman"/>
            <w:color w:val="auto"/>
            <w:sz w:val="32"/>
            <w:szCs w:val="32"/>
          </w:rPr>
          <m:t>=</m:t>
        </m:r>
        <m:d>
          <m:dPr>
            <m:begChr m:val="{"/>
            <m:endChr m:val=""/>
            <m:ctrlPr>
              <w:rPr>
                <w:rFonts w:ascii="Cambria Math" w:eastAsia="仿宋_GB2312" w:hAnsi="Cambria Math" w:cs="Times New Roman"/>
                <w:color w:val="auto"/>
                <w:sz w:val="32"/>
                <w:szCs w:val="32"/>
              </w:rPr>
            </m:ctrlPr>
          </m:dPr>
          <m:e>
            <m:eqArr>
              <m:eqArrPr>
                <m:ctrlPr>
                  <w:rPr>
                    <w:rFonts w:ascii="Cambria Math" w:eastAsia="仿宋_GB2312" w:hAnsi="Cambria Math" w:cs="Times New Roman"/>
                    <w:color w:val="auto"/>
                    <w:sz w:val="32"/>
                    <w:szCs w:val="32"/>
                  </w:rPr>
                </m:ctrlPr>
              </m:eqArrPr>
              <m:e>
                <m:r>
                  <m:rPr>
                    <m:sty m:val="p"/>
                  </m:rPr>
                  <w:rPr>
                    <w:rFonts w:ascii="Cambria Math" w:eastAsia="仿宋_GB2312" w:hAnsi="Cambria Math" w:cs="Times New Roman"/>
                    <w:color w:val="auto"/>
                    <w:sz w:val="32"/>
                    <w:szCs w:val="32"/>
                  </w:rPr>
                  <m:t>100</m:t>
                </m:r>
                <m:r>
                  <m:rPr>
                    <m:sty m:val="p"/>
                  </m:rPr>
                  <w:rPr>
                    <w:rFonts w:ascii="Cambria Math" w:eastAsia="仿宋_GB2312" w:hAnsi="Cambria Math" w:cs="Times New Roman"/>
                    <w:color w:val="auto"/>
                    <w:sz w:val="32"/>
                    <w:szCs w:val="32"/>
                  </w:rPr>
                  <m:t>，</m:t>
                </m:r>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r>
                  <m:rPr>
                    <m:sty m:val="p"/>
                  </m:rPr>
                  <w:rPr>
                    <w:rFonts w:ascii="Cambria Math" w:eastAsia="仿宋_GB2312" w:hAnsi="Cambria Math" w:cs="Times New Roman"/>
                    <w:color w:val="auto"/>
                    <w:sz w:val="32"/>
                    <w:szCs w:val="32"/>
                  </w:rPr>
                  <m:t>属于</m:t>
                </m:r>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e>
              <m:e>
                <m:r>
                  <m:rPr>
                    <m:sty m:val="p"/>
                  </m:rPr>
                  <w:rPr>
                    <w:rFonts w:ascii="Cambria Math" w:eastAsia="仿宋_GB2312" w:hAnsi="Cambria Math" w:cs="Times New Roman"/>
                    <w:color w:val="auto"/>
                    <w:sz w:val="32"/>
                    <w:szCs w:val="32"/>
                  </w:rPr>
                  <m:t>0</m:t>
                </m:r>
                <m:r>
                  <m:rPr>
                    <m:sty m:val="p"/>
                  </m:rPr>
                  <w:rPr>
                    <w:rFonts w:ascii="Cambria Math" w:eastAsia="仿宋_GB2312" w:hAnsi="Cambria Math" w:cs="Times New Roman"/>
                    <w:color w:val="auto"/>
                    <w:sz w:val="32"/>
                    <w:szCs w:val="32"/>
                  </w:rPr>
                  <m:t>，</m:t>
                </m:r>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r>
                  <m:rPr>
                    <m:sty m:val="p"/>
                  </m:rPr>
                  <w:rPr>
                    <w:rFonts w:ascii="Cambria Math" w:eastAsia="仿宋_GB2312" w:hAnsi="Cambria Math" w:cs="Times New Roman"/>
                    <w:color w:val="auto"/>
                    <w:sz w:val="32"/>
                    <w:szCs w:val="32"/>
                  </w:rPr>
                  <m:t>不属于</m:t>
                </m:r>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e>
            </m:eqArr>
          </m:e>
        </m:d>
      </m:oMath>
      <w:r>
        <w:rPr>
          <w:rFonts w:eastAsia="仿宋_GB2312" w:cs="Times New Roman"/>
          <w:color w:val="auto"/>
          <w:sz w:val="32"/>
          <w:szCs w:val="32"/>
        </w:rPr>
        <w:t xml:space="preserve">                        (</w:t>
      </w:r>
      <w:r>
        <w:rPr>
          <w:rFonts w:eastAsia="仿宋_GB2312" w:cs="Times New Roman"/>
          <w:color w:val="auto"/>
          <w:sz w:val="32"/>
          <w:szCs w:val="32"/>
        </w:rPr>
        <w:fldChar w:fldCharType="begin"/>
      </w:r>
      <w:r>
        <w:rPr>
          <w:rFonts w:eastAsia="仿宋_GB2312" w:cs="Times New Roman"/>
          <w:color w:val="auto"/>
          <w:sz w:val="32"/>
          <w:szCs w:val="32"/>
        </w:rPr>
        <w:instrText xml:space="preserve"> AUTONUM </w:instrText>
      </w:r>
      <w:r>
        <w:rPr>
          <w:rFonts w:eastAsia="仿宋_GB2312" w:cs="Times New Roman"/>
          <w:color w:val="auto"/>
          <w:sz w:val="32"/>
          <w:szCs w:val="32"/>
        </w:rPr>
        <w:fldChar w:fldCharType="end"/>
      </w:r>
      <w:r>
        <w:rPr>
          <w:rFonts w:eastAsia="仿宋_GB2312" w:cs="Times New Roman"/>
          <w:color w:val="auto"/>
          <w:sz w:val="32"/>
          <w:szCs w:val="32"/>
        </w:rPr>
        <w:t>)</w:t>
      </w:r>
    </w:p>
    <w:p w14:paraId="1DA268C9" w14:textId="77777777" w:rsidR="00445F8C" w:rsidRDefault="00084192">
      <w:pPr>
        <w:pStyle w:val="affb"/>
        <w:ind w:firstLine="640"/>
        <w:rPr>
          <w:rFonts w:eastAsia="仿宋_GB2312" w:cs="Times New Roman"/>
          <w:color w:val="auto"/>
          <w:sz w:val="32"/>
          <w:szCs w:val="32"/>
        </w:rPr>
      </w:pPr>
      <w:r>
        <w:rPr>
          <w:rFonts w:eastAsia="仿宋_GB2312" w:cs="Times New Roman"/>
          <w:color w:val="auto"/>
          <w:sz w:val="32"/>
          <w:szCs w:val="32"/>
        </w:rPr>
        <w:lastRenderedPageBreak/>
        <w:t>式中：</w:t>
      </w:r>
    </w:p>
    <w:p w14:paraId="7A9AB757"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sub>
        </m:sSub>
        <m:d>
          <m:dPr>
            <m:ctrlPr>
              <w:rPr>
                <w:rFonts w:ascii="Cambria Math" w:eastAsia="仿宋_GB2312" w:hAnsi="Cambria Math" w:cs="Times New Roman"/>
                <w:color w:val="auto"/>
                <w:sz w:val="32"/>
                <w:szCs w:val="32"/>
              </w:rPr>
            </m:ctrlPr>
          </m:dPr>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e>
        </m:d>
      </m:oMath>
      <w:r>
        <w:rPr>
          <w:rFonts w:eastAsia="仿宋_GB2312" w:cs="Times New Roman"/>
          <w:color w:val="auto"/>
          <w:sz w:val="32"/>
          <w:szCs w:val="32"/>
        </w:rPr>
        <w:t>——</w:t>
      </w:r>
      <w:r>
        <w:rPr>
          <w:rFonts w:eastAsia="仿宋_GB2312" w:cs="Times New Roman"/>
          <w:color w:val="auto"/>
          <w:sz w:val="32"/>
          <w:szCs w:val="32"/>
        </w:rPr>
        <w:t>二级指标</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oMath>
      <w:r>
        <w:rPr>
          <w:rFonts w:eastAsia="仿宋_GB2312" w:cs="Times New Roman"/>
          <w:color w:val="auto"/>
          <w:sz w:val="32"/>
          <w:szCs w:val="32"/>
        </w:rPr>
        <w:t>对应级别</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oMath>
      <w:r>
        <w:rPr>
          <w:rFonts w:eastAsia="仿宋_GB2312" w:cs="Times New Roman"/>
          <w:color w:val="auto"/>
          <w:sz w:val="32"/>
          <w:szCs w:val="32"/>
        </w:rPr>
        <w:t>的隶属函数；</w:t>
      </w:r>
    </w:p>
    <w:p w14:paraId="1C787A05"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oMath>
      <w:r>
        <w:rPr>
          <w:rFonts w:eastAsia="仿宋_GB2312" w:cs="Times New Roman"/>
          <w:color w:val="auto"/>
          <w:sz w:val="32"/>
          <w:szCs w:val="32"/>
        </w:rPr>
        <w:t xml:space="preserve">     ——</w:t>
      </w:r>
      <w:r>
        <w:rPr>
          <w:rFonts w:eastAsia="仿宋_GB2312" w:cs="Times New Roman"/>
          <w:color w:val="auto"/>
          <w:sz w:val="32"/>
          <w:szCs w:val="32"/>
        </w:rPr>
        <w:t>第</w:t>
      </w:r>
      <w:r>
        <w:rPr>
          <w:rFonts w:eastAsia="仿宋_GB2312" w:cs="Times New Roman"/>
          <w:color w:val="auto"/>
          <w:sz w:val="32"/>
          <w:szCs w:val="32"/>
        </w:rPr>
        <w:t>i</w:t>
      </w:r>
      <w:proofErr w:type="gramStart"/>
      <w:r>
        <w:rPr>
          <w:rFonts w:eastAsia="仿宋_GB2312" w:cs="Times New Roman"/>
          <w:color w:val="auto"/>
          <w:sz w:val="32"/>
          <w:szCs w:val="32"/>
        </w:rPr>
        <w:t>个</w:t>
      </w:r>
      <w:proofErr w:type="gramEnd"/>
      <w:r>
        <w:rPr>
          <w:rFonts w:eastAsia="仿宋_GB2312" w:cs="Times New Roman"/>
          <w:color w:val="auto"/>
          <w:sz w:val="32"/>
          <w:szCs w:val="32"/>
        </w:rPr>
        <w:t>一级指标下的第</w:t>
      </w:r>
      <w:r>
        <w:rPr>
          <w:rFonts w:eastAsia="仿宋_GB2312" w:cs="Times New Roman"/>
          <w:color w:val="auto"/>
          <w:sz w:val="32"/>
          <w:szCs w:val="32"/>
        </w:rPr>
        <w:t>j</w:t>
      </w:r>
      <w:proofErr w:type="gramStart"/>
      <w:r>
        <w:rPr>
          <w:rFonts w:eastAsia="仿宋_GB2312" w:cs="Times New Roman"/>
          <w:color w:val="auto"/>
          <w:sz w:val="32"/>
          <w:szCs w:val="32"/>
        </w:rPr>
        <w:t>个</w:t>
      </w:r>
      <w:proofErr w:type="gramEnd"/>
      <w:r>
        <w:rPr>
          <w:rFonts w:eastAsia="仿宋_GB2312" w:cs="Times New Roman"/>
          <w:color w:val="auto"/>
          <w:sz w:val="32"/>
          <w:szCs w:val="32"/>
        </w:rPr>
        <w:t>二级指标；</w:t>
      </w:r>
    </w:p>
    <w:p w14:paraId="54EDDD91"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oMath>
      <w:r>
        <w:rPr>
          <w:rFonts w:eastAsia="仿宋_GB2312" w:cs="Times New Roman"/>
          <w:color w:val="auto"/>
          <w:sz w:val="32"/>
          <w:szCs w:val="32"/>
        </w:rPr>
        <w:t xml:space="preserve">     ——</w:t>
      </w:r>
      <w:r>
        <w:rPr>
          <w:rFonts w:eastAsia="仿宋_GB2312" w:cs="Times New Roman"/>
          <w:color w:val="auto"/>
          <w:sz w:val="32"/>
          <w:szCs w:val="32"/>
        </w:rPr>
        <w:t>二级指标基准值，其中</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1</m:t>
            </m:r>
          </m:sub>
        </m:sSub>
      </m:oMath>
      <w:r>
        <w:rPr>
          <w:rFonts w:eastAsia="仿宋_GB2312" w:cs="Times New Roman"/>
          <w:color w:val="auto"/>
          <w:sz w:val="32"/>
          <w:szCs w:val="32"/>
        </w:rPr>
        <w:t>为</w:t>
      </w:r>
      <w:r>
        <w:rPr>
          <w:rFonts w:ascii="宋体" w:hAnsi="宋体" w:hint="eastAsia"/>
          <w:color w:val="auto"/>
          <w:sz w:val="32"/>
          <w:szCs w:val="32"/>
        </w:rPr>
        <w:t>Ⅰ</w:t>
      </w:r>
      <w:r>
        <w:rPr>
          <w:rFonts w:eastAsia="仿宋_GB2312" w:cs="Times New Roman"/>
          <w:color w:val="auto"/>
          <w:sz w:val="32"/>
          <w:szCs w:val="32"/>
        </w:rPr>
        <w:t>级清洁燃烧水平，</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2</m:t>
            </m:r>
          </m:sub>
        </m:sSub>
      </m:oMath>
      <w:r>
        <w:rPr>
          <w:rFonts w:eastAsia="仿宋_GB2312" w:cs="Times New Roman"/>
          <w:color w:val="auto"/>
          <w:sz w:val="32"/>
          <w:szCs w:val="32"/>
        </w:rPr>
        <w:t>为</w:t>
      </w:r>
      <w:r>
        <w:rPr>
          <w:rFonts w:ascii="宋体" w:hAnsi="宋体" w:hint="eastAsia"/>
          <w:color w:val="auto"/>
          <w:sz w:val="32"/>
          <w:szCs w:val="32"/>
        </w:rPr>
        <w:t>Ⅱ</w:t>
      </w:r>
      <w:r>
        <w:rPr>
          <w:rFonts w:eastAsia="仿宋_GB2312" w:cs="Times New Roman"/>
          <w:color w:val="auto"/>
          <w:sz w:val="32"/>
          <w:szCs w:val="32"/>
        </w:rPr>
        <w:t>级清洁燃烧水平，</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3</m:t>
            </m:r>
          </m:sub>
        </m:sSub>
      </m:oMath>
      <w:r>
        <w:rPr>
          <w:rFonts w:eastAsia="仿宋_GB2312" w:cs="Times New Roman"/>
          <w:color w:val="auto"/>
          <w:sz w:val="32"/>
          <w:szCs w:val="32"/>
        </w:rPr>
        <w:t>为</w:t>
      </w:r>
      <w:r>
        <w:rPr>
          <w:rFonts w:ascii="宋体" w:hAnsi="宋体" w:hint="eastAsia"/>
          <w:color w:val="auto"/>
          <w:sz w:val="32"/>
          <w:szCs w:val="32"/>
        </w:rPr>
        <w:t>Ⅲ</w:t>
      </w:r>
      <w:r>
        <w:rPr>
          <w:rFonts w:eastAsia="仿宋_GB2312" w:cs="Times New Roman"/>
          <w:color w:val="auto"/>
          <w:sz w:val="32"/>
          <w:szCs w:val="32"/>
        </w:rPr>
        <w:t>级清洁燃烧水平。</w:t>
      </w:r>
    </w:p>
    <w:p w14:paraId="4459F604" w14:textId="77777777" w:rsidR="00445F8C" w:rsidRDefault="00084192">
      <w:pPr>
        <w:autoSpaceDE w:val="0"/>
        <w:autoSpaceDN w:val="0"/>
        <w:adjustRightInd w:val="0"/>
        <w:spacing w:line="560" w:lineRule="exact"/>
        <w:ind w:firstLine="640"/>
        <w:jc w:val="left"/>
        <w:rPr>
          <w:szCs w:val="32"/>
        </w:rPr>
      </w:pPr>
      <w:r>
        <w:rPr>
          <w:szCs w:val="32"/>
        </w:rPr>
        <w:t>如公式（</w:t>
      </w:r>
      <w:r>
        <w:rPr>
          <w:szCs w:val="32"/>
        </w:rPr>
        <w:t>1</w:t>
      </w:r>
      <w:r>
        <w:rPr>
          <w:szCs w:val="32"/>
        </w:rPr>
        <w:t>）所示，</w:t>
      </w:r>
      <w:proofErr w:type="gramStart"/>
      <w:r>
        <w:rPr>
          <w:szCs w:val="32"/>
        </w:rPr>
        <w:t>若指标</w:t>
      </w:r>
      <w:proofErr w:type="gramEnd"/>
      <m:oMath>
        <m:sSub>
          <m:sSubPr>
            <m:ctrlPr>
              <w:rPr>
                <w:rFonts w:ascii="Cambria Math" w:hAnsi="Cambria Math"/>
                <w:szCs w:val="32"/>
              </w:rPr>
            </m:ctrlPr>
          </m:sSubPr>
          <m:e>
            <m:r>
              <m:rPr>
                <m:sty m:val="p"/>
              </m:rPr>
              <w:rPr>
                <w:rFonts w:ascii="Cambria Math" w:hAnsi="Cambria Math"/>
                <w:szCs w:val="32"/>
              </w:rPr>
              <m:t>x</m:t>
            </m:r>
          </m:e>
          <m:sub>
            <m:r>
              <m:rPr>
                <m:sty m:val="p"/>
              </m:rPr>
              <w:rPr>
                <w:rFonts w:ascii="Cambria Math" w:hAnsi="Cambria Math"/>
                <w:szCs w:val="32"/>
              </w:rPr>
              <m:t>ij</m:t>
            </m:r>
          </m:sub>
        </m:sSub>
      </m:oMath>
      <w:r>
        <w:rPr>
          <w:szCs w:val="32"/>
        </w:rPr>
        <w:t>属于级别</w:t>
      </w:r>
      <m:oMath>
        <m:sSub>
          <m:sSubPr>
            <m:ctrlPr>
              <w:rPr>
                <w:rFonts w:ascii="Cambria Math" w:hAnsi="Cambria Math"/>
                <w:szCs w:val="32"/>
              </w:rPr>
            </m:ctrlPr>
          </m:sSubPr>
          <m:e>
            <m:r>
              <m:rPr>
                <m:sty m:val="p"/>
              </m:rPr>
              <w:rPr>
                <w:rFonts w:ascii="Cambria Math" w:hAnsi="Cambria Math"/>
                <w:szCs w:val="32"/>
              </w:rPr>
              <m:t>g</m:t>
            </m:r>
          </m:e>
          <m:sub>
            <m:r>
              <m:rPr>
                <m:sty m:val="p"/>
              </m:rPr>
              <w:rPr>
                <w:rFonts w:ascii="Cambria Math" w:hAnsi="Cambria Math"/>
                <w:szCs w:val="32"/>
              </w:rPr>
              <m:t>k</m:t>
            </m:r>
          </m:sub>
        </m:sSub>
      </m:oMath>
      <w:r>
        <w:rPr>
          <w:szCs w:val="32"/>
        </w:rPr>
        <w:t>，则隶属函数的值为</w:t>
      </w:r>
      <w:r>
        <w:rPr>
          <w:szCs w:val="32"/>
        </w:rPr>
        <w:t>100</w:t>
      </w:r>
      <w:r>
        <w:rPr>
          <w:szCs w:val="32"/>
        </w:rPr>
        <w:t>，否则为</w:t>
      </w:r>
      <w:r>
        <w:rPr>
          <w:szCs w:val="32"/>
        </w:rPr>
        <w:t>0</w:t>
      </w:r>
      <w:r>
        <w:rPr>
          <w:szCs w:val="32"/>
        </w:rPr>
        <w:t>。</w:t>
      </w:r>
    </w:p>
    <w:p w14:paraId="0E5B2FC4"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综合评价指标是衡量考核在考核期内的生物质锅炉清洁燃烧的总体水平的一项综合指标，通过加权平均、逐层收敛可得到评价对象在不同级别</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oMath>
      <w:r>
        <w:rPr>
          <w:rFonts w:eastAsia="仿宋_GB2312" w:cs="Times New Roman"/>
          <w:color w:val="auto"/>
          <w:sz w:val="32"/>
          <w:szCs w:val="32"/>
        </w:rPr>
        <w:t>得到相应的评分</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sub>
        </m:sSub>
        <m:d>
          <m:dPr>
            <m:ctrlPr>
              <w:rPr>
                <w:rFonts w:ascii="Cambria Math" w:eastAsia="仿宋_GB2312" w:hAnsi="Cambria Math" w:cs="Times New Roman"/>
                <w:color w:val="auto"/>
                <w:sz w:val="32"/>
                <w:szCs w:val="32"/>
              </w:rPr>
            </m:ctrlPr>
          </m:dPr>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e>
        </m:d>
      </m:oMath>
      <w:r>
        <w:rPr>
          <w:rFonts w:eastAsia="仿宋_GB2312" w:cs="Times New Roman"/>
          <w:color w:val="auto"/>
          <w:sz w:val="32"/>
          <w:szCs w:val="32"/>
        </w:rPr>
        <w:t>，按式（</w:t>
      </w:r>
      <w:r>
        <w:rPr>
          <w:rFonts w:eastAsia="仿宋_GB2312" w:cs="Times New Roman"/>
          <w:color w:val="auto"/>
          <w:sz w:val="32"/>
          <w:szCs w:val="32"/>
        </w:rPr>
        <w:t>2</w:t>
      </w:r>
      <w:r>
        <w:rPr>
          <w:rFonts w:eastAsia="仿宋_GB2312" w:cs="Times New Roman"/>
          <w:color w:val="auto"/>
          <w:sz w:val="32"/>
          <w:szCs w:val="32"/>
        </w:rPr>
        <w:t>）计算：</w:t>
      </w:r>
    </w:p>
    <w:p w14:paraId="5B44217B" w14:textId="77777777" w:rsidR="00445F8C" w:rsidRDefault="00084192">
      <w:pPr>
        <w:pStyle w:val="affb"/>
        <w:ind w:firstLine="640"/>
        <w:jc w:val="left"/>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sub>
        </m:sSub>
        <m:d>
          <m:dPr>
            <m:ctrlPr>
              <w:rPr>
                <w:rFonts w:ascii="Cambria Math" w:eastAsia="仿宋_GB2312" w:hAnsi="Cambria Math" w:cs="Times New Roman"/>
                <w:color w:val="auto"/>
                <w:sz w:val="32"/>
                <w:szCs w:val="32"/>
              </w:rPr>
            </m:ctrlPr>
          </m:dPr>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e>
        </m:d>
        <m:r>
          <m:rPr>
            <m:sty m:val="p"/>
          </m:rPr>
          <w:rPr>
            <w:rFonts w:ascii="Cambria Math" w:eastAsia="仿宋_GB2312" w:hAnsi="Cambria Math" w:cs="Times New Roman"/>
            <w:color w:val="auto"/>
            <w:sz w:val="32"/>
            <w:szCs w:val="32"/>
          </w:rPr>
          <m:t>=</m:t>
        </m:r>
        <m:nary>
          <m:naryPr>
            <m:chr m:val="∑"/>
            <m:limLoc m:val="undOvr"/>
            <m:ctrlPr>
              <w:rPr>
                <w:rFonts w:ascii="Cambria Math" w:eastAsia="仿宋_GB2312" w:hAnsi="Cambria Math" w:cs="Times New Roman"/>
                <w:color w:val="auto"/>
                <w:sz w:val="32"/>
                <w:szCs w:val="32"/>
              </w:rPr>
            </m:ctrlPr>
          </m:naryPr>
          <m:sub>
            <m:r>
              <m:rPr>
                <m:sty m:val="p"/>
              </m:rPr>
              <w:rPr>
                <w:rFonts w:ascii="Cambria Math" w:eastAsia="仿宋_GB2312" w:hAnsi="Cambria Math" w:cs="Times New Roman"/>
                <w:color w:val="auto"/>
                <w:sz w:val="32"/>
                <w:szCs w:val="32"/>
              </w:rPr>
              <m:t>i=1</m:t>
            </m:r>
          </m:sub>
          <m:sup>
            <m:r>
              <m:rPr>
                <m:sty m:val="p"/>
              </m:rPr>
              <w:rPr>
                <w:rFonts w:ascii="Cambria Math" w:eastAsia="仿宋_GB2312" w:hAnsi="Cambria Math" w:cs="Times New Roman"/>
                <w:color w:val="auto"/>
                <w:sz w:val="32"/>
                <w:szCs w:val="32"/>
              </w:rPr>
              <m:t>m</m:t>
            </m:r>
          </m:sup>
          <m:e>
            <m:d>
              <m:dPr>
                <m:begChr m:val="["/>
                <m:endChr m:val="]"/>
                <m:ctrlPr>
                  <w:rPr>
                    <w:rFonts w:ascii="Cambria Math" w:eastAsia="仿宋_GB2312" w:hAnsi="Cambria Math" w:cs="Times New Roman"/>
                    <w:color w:val="auto"/>
                    <w:sz w:val="32"/>
                    <w:szCs w:val="32"/>
                  </w:rPr>
                </m:ctrlPr>
              </m:dPr>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w</m:t>
                    </m:r>
                  </m:e>
                  <m:sub>
                    <m:r>
                      <m:rPr>
                        <m:sty m:val="p"/>
                      </m:rPr>
                      <w:rPr>
                        <w:rFonts w:ascii="Cambria Math" w:eastAsia="仿宋_GB2312" w:hAnsi="Cambria Math" w:cs="Times New Roman"/>
                        <w:color w:val="auto"/>
                        <w:sz w:val="32"/>
                        <w:szCs w:val="32"/>
                      </w:rPr>
                      <m:t>i</m:t>
                    </m:r>
                  </m:sub>
                </m:sSub>
                <m:nary>
                  <m:naryPr>
                    <m:chr m:val="∑"/>
                    <m:limLoc m:val="undOvr"/>
                    <m:ctrlPr>
                      <w:rPr>
                        <w:rFonts w:ascii="Cambria Math" w:eastAsia="仿宋_GB2312" w:hAnsi="Cambria Math" w:cs="Times New Roman"/>
                        <w:color w:val="auto"/>
                        <w:sz w:val="32"/>
                        <w:szCs w:val="32"/>
                      </w:rPr>
                    </m:ctrlPr>
                  </m:naryPr>
                  <m:sub>
                    <m:r>
                      <m:rPr>
                        <m:sty m:val="p"/>
                      </m:rPr>
                      <w:rPr>
                        <w:rFonts w:ascii="Cambria Math" w:eastAsia="仿宋_GB2312" w:hAnsi="Cambria Math" w:cs="Times New Roman"/>
                        <w:color w:val="auto"/>
                        <w:sz w:val="32"/>
                        <w:szCs w:val="32"/>
                      </w:rPr>
                      <m:t>j=1</m:t>
                    </m:r>
                  </m:sub>
                  <m:sup>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n</m:t>
                        </m:r>
                      </m:e>
                      <m:sub>
                        <m:r>
                          <m:rPr>
                            <m:sty m:val="p"/>
                          </m:rPr>
                          <w:rPr>
                            <w:rFonts w:ascii="Cambria Math" w:eastAsia="仿宋_GB2312" w:hAnsi="Cambria Math" w:cs="Times New Roman"/>
                            <w:color w:val="auto"/>
                            <w:sz w:val="32"/>
                            <w:szCs w:val="32"/>
                          </w:rPr>
                          <m:t>i</m:t>
                        </m:r>
                      </m:sub>
                    </m:sSub>
                  </m:sup>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Sub>
                  </m:e>
                </m:nary>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k</m:t>
                        </m:r>
                      </m:sub>
                    </m:sSub>
                  </m:sub>
                </m:sSub>
                <m:d>
                  <m:dPr>
                    <m:ctrlPr>
                      <w:rPr>
                        <w:rFonts w:ascii="Cambria Math" w:eastAsia="仿宋_GB2312" w:hAnsi="Cambria Math" w:cs="Times New Roman"/>
                        <w:color w:val="auto"/>
                        <w:sz w:val="32"/>
                        <w:szCs w:val="32"/>
                      </w:rPr>
                    </m:ctrlPr>
                  </m:dPr>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x</m:t>
                        </m:r>
                      </m:e>
                      <m:sub>
                        <m:r>
                          <m:rPr>
                            <m:sty m:val="p"/>
                          </m:rPr>
                          <w:rPr>
                            <w:rFonts w:ascii="Cambria Math" w:eastAsia="仿宋_GB2312" w:hAnsi="Cambria Math" w:cs="Times New Roman"/>
                            <w:color w:val="auto"/>
                            <w:sz w:val="32"/>
                            <w:szCs w:val="32"/>
                          </w:rPr>
                          <m:t>ij</m:t>
                        </m:r>
                      </m:sub>
                    </m:sSub>
                  </m:e>
                </m:d>
              </m:e>
            </m:d>
          </m:e>
        </m:nary>
      </m:oMath>
      <w:r>
        <w:rPr>
          <w:rFonts w:eastAsia="仿宋_GB2312" w:cs="Times New Roman"/>
          <w:color w:val="auto"/>
          <w:sz w:val="32"/>
          <w:szCs w:val="32"/>
        </w:rPr>
        <w:t xml:space="preserve">                 (</w:t>
      </w:r>
      <w:r>
        <w:rPr>
          <w:rFonts w:eastAsia="仿宋_GB2312" w:cs="Times New Roman"/>
          <w:color w:val="auto"/>
          <w:sz w:val="32"/>
          <w:szCs w:val="32"/>
        </w:rPr>
        <w:fldChar w:fldCharType="begin"/>
      </w:r>
      <w:r>
        <w:rPr>
          <w:rFonts w:eastAsia="仿宋_GB2312" w:cs="Times New Roman"/>
          <w:color w:val="auto"/>
          <w:sz w:val="32"/>
          <w:szCs w:val="32"/>
        </w:rPr>
        <w:instrText xml:space="preserve"> AUTONUM </w:instrText>
      </w:r>
      <w:r>
        <w:rPr>
          <w:rFonts w:eastAsia="仿宋_GB2312" w:cs="Times New Roman"/>
          <w:color w:val="auto"/>
          <w:sz w:val="32"/>
          <w:szCs w:val="32"/>
        </w:rPr>
        <w:fldChar w:fldCharType="end"/>
      </w:r>
      <w:r>
        <w:rPr>
          <w:rFonts w:eastAsia="仿宋_GB2312" w:cs="Times New Roman"/>
          <w:color w:val="auto"/>
          <w:sz w:val="32"/>
          <w:szCs w:val="32"/>
        </w:rPr>
        <w:t>)</w:t>
      </w:r>
    </w:p>
    <w:p w14:paraId="5FC55D20"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式中：</w:t>
      </w:r>
    </w:p>
    <w:p w14:paraId="31926E9D"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w</m:t>
            </m:r>
          </m:e>
          <m:sub>
            <m:r>
              <m:rPr>
                <m:sty m:val="p"/>
              </m:rPr>
              <w:rPr>
                <w:rFonts w:ascii="Cambria Math" w:eastAsia="仿宋_GB2312" w:hAnsi="Cambria Math" w:cs="Times New Roman"/>
                <w:color w:val="auto"/>
                <w:sz w:val="32"/>
                <w:szCs w:val="32"/>
              </w:rPr>
              <m:t>i</m:t>
            </m:r>
          </m:sub>
        </m:sSub>
      </m:oMath>
      <w:r>
        <w:rPr>
          <w:rFonts w:eastAsia="仿宋_GB2312" w:cs="Times New Roman"/>
          <w:color w:val="auto"/>
          <w:sz w:val="32"/>
          <w:szCs w:val="32"/>
        </w:rPr>
        <w:t xml:space="preserve"> ——</w:t>
      </w:r>
      <w:r>
        <w:rPr>
          <w:rFonts w:eastAsia="仿宋_GB2312" w:cs="Times New Roman"/>
          <w:color w:val="auto"/>
          <w:sz w:val="32"/>
          <w:szCs w:val="32"/>
        </w:rPr>
        <w:t>第</w:t>
      </w:r>
      <w:r>
        <w:rPr>
          <w:rFonts w:eastAsia="仿宋_GB2312" w:cs="Times New Roman"/>
          <w:color w:val="auto"/>
          <w:sz w:val="32"/>
          <w:szCs w:val="32"/>
        </w:rPr>
        <w:t>i</w:t>
      </w:r>
      <w:proofErr w:type="gramStart"/>
      <w:r>
        <w:rPr>
          <w:rFonts w:eastAsia="仿宋_GB2312" w:cs="Times New Roman"/>
          <w:color w:val="auto"/>
          <w:sz w:val="32"/>
          <w:szCs w:val="32"/>
        </w:rPr>
        <w:t>个</w:t>
      </w:r>
      <w:proofErr w:type="gramEnd"/>
      <w:r>
        <w:rPr>
          <w:rFonts w:eastAsia="仿宋_GB2312" w:cs="Times New Roman"/>
          <w:color w:val="auto"/>
          <w:sz w:val="32"/>
          <w:szCs w:val="32"/>
        </w:rPr>
        <w:t>一级指标的权重；</w:t>
      </w:r>
    </w:p>
    <w:p w14:paraId="59AA5CA4"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Sub>
      </m:oMath>
      <w:r>
        <w:rPr>
          <w:rFonts w:eastAsia="仿宋_GB2312" w:cs="Times New Roman"/>
          <w:color w:val="auto"/>
          <w:sz w:val="32"/>
          <w:szCs w:val="32"/>
        </w:rPr>
        <w:t>——</w:t>
      </w:r>
      <w:r>
        <w:rPr>
          <w:rFonts w:eastAsia="仿宋_GB2312" w:cs="Times New Roman"/>
          <w:color w:val="auto"/>
          <w:sz w:val="32"/>
          <w:szCs w:val="32"/>
        </w:rPr>
        <w:t>第</w:t>
      </w:r>
      <w:r>
        <w:rPr>
          <w:rFonts w:eastAsia="仿宋_GB2312" w:cs="Times New Roman"/>
          <w:color w:val="auto"/>
          <w:sz w:val="32"/>
          <w:szCs w:val="32"/>
        </w:rPr>
        <w:t>i</w:t>
      </w:r>
      <w:proofErr w:type="gramStart"/>
      <w:r>
        <w:rPr>
          <w:rFonts w:eastAsia="仿宋_GB2312" w:cs="Times New Roman"/>
          <w:color w:val="auto"/>
          <w:sz w:val="32"/>
          <w:szCs w:val="32"/>
        </w:rPr>
        <w:t>个</w:t>
      </w:r>
      <w:proofErr w:type="gramEnd"/>
      <w:r>
        <w:rPr>
          <w:rFonts w:eastAsia="仿宋_GB2312" w:cs="Times New Roman"/>
          <w:color w:val="auto"/>
          <w:sz w:val="32"/>
          <w:szCs w:val="32"/>
        </w:rPr>
        <w:t>一级指标下的第</w:t>
      </w:r>
      <w:r>
        <w:rPr>
          <w:rFonts w:eastAsia="仿宋_GB2312" w:cs="Times New Roman"/>
          <w:color w:val="auto"/>
          <w:sz w:val="32"/>
          <w:szCs w:val="32"/>
        </w:rPr>
        <w:t>j</w:t>
      </w:r>
      <w:proofErr w:type="gramStart"/>
      <w:r>
        <w:rPr>
          <w:rFonts w:eastAsia="仿宋_GB2312" w:cs="Times New Roman"/>
          <w:color w:val="auto"/>
          <w:sz w:val="32"/>
          <w:szCs w:val="32"/>
        </w:rPr>
        <w:t>个</w:t>
      </w:r>
      <w:proofErr w:type="gramEnd"/>
      <w:r>
        <w:rPr>
          <w:rFonts w:eastAsia="仿宋_GB2312" w:cs="Times New Roman"/>
          <w:color w:val="auto"/>
          <w:sz w:val="32"/>
          <w:szCs w:val="32"/>
        </w:rPr>
        <w:t>二级指标的权重。</w:t>
      </w:r>
    </w:p>
    <w:p w14:paraId="77B0F716"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其中：</w:t>
      </w:r>
    </w:p>
    <w:p w14:paraId="5B03FC54" w14:textId="77777777" w:rsidR="00445F8C" w:rsidRDefault="00084192">
      <w:pPr>
        <w:pStyle w:val="affb"/>
        <w:ind w:firstLine="640"/>
        <w:jc w:val="center"/>
        <w:rPr>
          <w:rFonts w:eastAsia="仿宋_GB2312" w:cs="Times New Roman"/>
          <w:color w:val="auto"/>
          <w:sz w:val="32"/>
          <w:szCs w:val="32"/>
        </w:rPr>
      </w:pPr>
      <m:oMathPara>
        <m:oMath>
          <m:nary>
            <m:naryPr>
              <m:chr m:val="∑"/>
              <m:limLoc m:val="subSup"/>
              <m:ctrlPr>
                <w:rPr>
                  <w:rFonts w:ascii="Cambria Math" w:eastAsia="仿宋_GB2312" w:hAnsi="Cambria Math" w:cs="Times New Roman"/>
                  <w:color w:val="auto"/>
                  <w:sz w:val="32"/>
                  <w:szCs w:val="32"/>
                </w:rPr>
              </m:ctrlPr>
            </m:naryPr>
            <m:sub>
              <m:r>
                <m:rPr>
                  <m:sty m:val="p"/>
                </m:rPr>
                <w:rPr>
                  <w:rFonts w:ascii="Cambria Math" w:eastAsia="仿宋_GB2312" w:hAnsi="Cambria Math" w:cs="Times New Roman"/>
                  <w:color w:val="auto"/>
                  <w:sz w:val="32"/>
                  <w:szCs w:val="32"/>
                </w:rPr>
                <m:t>i=1</m:t>
              </m:r>
            </m:sub>
            <m:sup>
              <m:r>
                <m:rPr>
                  <m:sty m:val="p"/>
                </m:rPr>
                <w:rPr>
                  <w:rFonts w:ascii="Cambria Math" w:eastAsia="仿宋_GB2312" w:hAnsi="Cambria Math" w:cs="Times New Roman"/>
                  <w:color w:val="auto"/>
                  <w:sz w:val="32"/>
                  <w:szCs w:val="32"/>
                </w:rPr>
                <m:t>m</m:t>
              </m:r>
            </m:sup>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w</m:t>
                  </m:r>
                </m:e>
                <m:sub>
                  <m:r>
                    <m:rPr>
                      <m:sty m:val="p"/>
                    </m:rPr>
                    <w:rPr>
                      <w:rFonts w:ascii="Cambria Math" w:eastAsia="仿宋_GB2312" w:hAnsi="Cambria Math" w:cs="Times New Roman"/>
                      <w:color w:val="auto"/>
                      <w:sz w:val="32"/>
                      <w:szCs w:val="32"/>
                    </w:rPr>
                    <m:t>i</m:t>
                  </m:r>
                </m:sub>
              </m:sSub>
              <m:r>
                <m:rPr>
                  <m:sty m:val="p"/>
                </m:rPr>
                <w:rPr>
                  <w:rFonts w:ascii="Cambria Math" w:eastAsia="仿宋_GB2312" w:hAnsi="Cambria Math" w:cs="Times New Roman"/>
                  <w:color w:val="auto"/>
                  <w:sz w:val="32"/>
                  <w:szCs w:val="32"/>
                </w:rPr>
                <m:t>=1</m:t>
              </m:r>
            </m:e>
          </m:nary>
          <m:r>
            <m:rPr>
              <m:sty m:val="p"/>
            </m:rPr>
            <w:rPr>
              <w:rFonts w:ascii="Cambria Math" w:eastAsia="仿宋_GB2312" w:hAnsi="Cambria Math" w:cs="Times New Roman"/>
              <w:color w:val="auto"/>
              <w:sz w:val="32"/>
              <w:szCs w:val="32"/>
            </w:rPr>
            <m:t>，</m:t>
          </m:r>
          <m:nary>
            <m:naryPr>
              <m:chr m:val="∑"/>
              <m:limLoc m:val="subSup"/>
              <m:ctrlPr>
                <w:rPr>
                  <w:rFonts w:ascii="Cambria Math" w:eastAsia="仿宋_GB2312" w:hAnsi="Cambria Math" w:cs="Times New Roman"/>
                  <w:color w:val="auto"/>
                  <w:sz w:val="32"/>
                  <w:szCs w:val="32"/>
                </w:rPr>
              </m:ctrlPr>
            </m:naryPr>
            <m:sub>
              <m:r>
                <m:rPr>
                  <m:sty m:val="p"/>
                </m:rPr>
                <w:rPr>
                  <w:rFonts w:ascii="Cambria Math" w:eastAsia="仿宋_GB2312" w:hAnsi="Cambria Math" w:cs="Times New Roman"/>
                  <w:color w:val="auto"/>
                  <w:sz w:val="32"/>
                  <w:szCs w:val="32"/>
                </w:rPr>
                <m:t>j=1</m:t>
              </m:r>
            </m:sub>
            <m:sup>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n</m:t>
                  </m:r>
                </m:e>
                <m:sub>
                  <m:r>
                    <m:rPr>
                      <m:sty m:val="p"/>
                    </m:rPr>
                    <w:rPr>
                      <w:rFonts w:ascii="Cambria Math" w:eastAsia="仿宋_GB2312" w:hAnsi="Cambria Math" w:cs="Times New Roman"/>
                      <w:color w:val="auto"/>
                      <w:sz w:val="32"/>
                      <w:szCs w:val="32"/>
                    </w:rPr>
                    <m:t>i</m:t>
                  </m:r>
                </m:sub>
              </m:sSub>
            </m:sup>
            <m:e>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Sub>
            </m:e>
          </m:nary>
          <m:r>
            <m:rPr>
              <m:sty m:val="p"/>
            </m:rPr>
            <w:rPr>
              <w:rFonts w:ascii="Cambria Math" w:eastAsia="仿宋_GB2312" w:hAnsi="Cambria Math" w:cs="Times New Roman"/>
              <w:color w:val="auto"/>
              <w:sz w:val="32"/>
              <w:szCs w:val="32"/>
            </w:rPr>
            <m:t>=1</m:t>
          </m:r>
        </m:oMath>
      </m:oMathPara>
    </w:p>
    <w:p w14:paraId="42F40DBD"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式中：</w:t>
      </w:r>
    </w:p>
    <w:p w14:paraId="27BFE2BB" w14:textId="77777777" w:rsidR="00445F8C" w:rsidRDefault="00084192">
      <w:pPr>
        <w:pStyle w:val="affb"/>
        <w:spacing w:line="560" w:lineRule="exact"/>
        <w:ind w:firstLine="640"/>
        <w:rPr>
          <w:rFonts w:eastAsia="仿宋_GB2312" w:cs="Times New Roman"/>
          <w:color w:val="auto"/>
          <w:sz w:val="32"/>
          <w:szCs w:val="32"/>
        </w:rPr>
      </w:pPr>
      <m:oMath>
        <m:r>
          <m:rPr>
            <m:sty m:val="p"/>
          </m:rPr>
          <w:rPr>
            <w:rFonts w:ascii="Cambria Math" w:eastAsia="仿宋_GB2312" w:hAnsi="Cambria Math" w:cs="Times New Roman"/>
            <w:color w:val="auto"/>
            <w:sz w:val="32"/>
            <w:szCs w:val="32"/>
          </w:rPr>
          <m:t>m</m:t>
        </m:r>
      </m:oMath>
      <w:r>
        <w:rPr>
          <w:rFonts w:eastAsia="仿宋_GB2312" w:cs="Times New Roman"/>
          <w:color w:val="auto"/>
          <w:sz w:val="32"/>
          <w:szCs w:val="32"/>
        </w:rPr>
        <w:t xml:space="preserve"> ——</w:t>
      </w:r>
      <w:r>
        <w:rPr>
          <w:rFonts w:eastAsia="仿宋_GB2312" w:cs="Times New Roman"/>
          <w:color w:val="auto"/>
          <w:sz w:val="32"/>
          <w:szCs w:val="32"/>
        </w:rPr>
        <w:t>一级指标的个数；</w:t>
      </w:r>
    </w:p>
    <w:p w14:paraId="0769D5F6"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n</m:t>
            </m:r>
          </m:e>
          <m:sub>
            <m:r>
              <m:rPr>
                <m:sty m:val="p"/>
              </m:rPr>
              <w:rPr>
                <w:rFonts w:ascii="Cambria Math" w:eastAsia="仿宋_GB2312" w:hAnsi="Cambria Math" w:cs="Times New Roman"/>
                <w:color w:val="auto"/>
                <w:sz w:val="32"/>
                <w:szCs w:val="32"/>
              </w:rPr>
              <m:t>i</m:t>
            </m:r>
          </m:sub>
        </m:sSub>
      </m:oMath>
      <w:r>
        <w:rPr>
          <w:rFonts w:eastAsia="仿宋_GB2312" w:cs="Times New Roman"/>
          <w:color w:val="auto"/>
          <w:sz w:val="32"/>
          <w:szCs w:val="32"/>
        </w:rPr>
        <w:t>——</w:t>
      </w:r>
      <w:r>
        <w:rPr>
          <w:rFonts w:eastAsia="仿宋_GB2312" w:cs="Times New Roman"/>
          <w:color w:val="auto"/>
          <w:sz w:val="32"/>
          <w:szCs w:val="32"/>
        </w:rPr>
        <w:t>第</w:t>
      </w:r>
      <w:r>
        <w:rPr>
          <w:rFonts w:eastAsia="仿宋_GB2312" w:cs="Times New Roman"/>
          <w:color w:val="auto"/>
          <w:sz w:val="32"/>
          <w:szCs w:val="32"/>
        </w:rPr>
        <w:t>i</w:t>
      </w:r>
      <w:proofErr w:type="gramStart"/>
      <w:r>
        <w:rPr>
          <w:rFonts w:eastAsia="仿宋_GB2312" w:cs="Times New Roman"/>
          <w:color w:val="auto"/>
          <w:sz w:val="32"/>
          <w:szCs w:val="32"/>
        </w:rPr>
        <w:t>个</w:t>
      </w:r>
      <w:proofErr w:type="gramEnd"/>
      <w:r>
        <w:rPr>
          <w:rFonts w:eastAsia="仿宋_GB2312" w:cs="Times New Roman"/>
          <w:color w:val="auto"/>
          <w:sz w:val="32"/>
          <w:szCs w:val="32"/>
        </w:rPr>
        <w:t>一级指标下二级指标的个数。</w:t>
      </w:r>
    </w:p>
    <w:p w14:paraId="0241F06C"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另外，</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1</m:t>
                </m:r>
              </m:sub>
            </m:sSub>
          </m:sub>
        </m:sSub>
      </m:oMath>
      <w:r>
        <w:rPr>
          <w:rFonts w:eastAsia="仿宋_GB2312" w:cs="Times New Roman"/>
          <w:color w:val="auto"/>
          <w:sz w:val="32"/>
          <w:szCs w:val="32"/>
        </w:rPr>
        <w:t>等同于</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r>
              <m:rPr>
                <m:sty m:val="p"/>
              </m:rPr>
              <w:rPr>
                <w:rFonts w:ascii="宋体" w:hAnsi="宋体" w:hint="eastAsia"/>
                <w:color w:val="auto"/>
                <w:sz w:val="32"/>
                <w:szCs w:val="32"/>
              </w:rPr>
              <m:t>Ⅰ</m:t>
            </m:r>
          </m:sub>
        </m:sSub>
      </m:oMath>
      <w:r>
        <w:rPr>
          <w:rFonts w:eastAsia="仿宋_GB2312" w:cs="Times New Roman"/>
          <w:color w:val="auto"/>
          <w:sz w:val="32"/>
          <w:szCs w:val="32"/>
        </w:rPr>
        <w:t>，</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2</m:t>
                </m:r>
              </m:sub>
            </m:sSub>
          </m:sub>
        </m:sSub>
      </m:oMath>
      <w:r>
        <w:rPr>
          <w:rFonts w:eastAsia="仿宋_GB2312" w:cs="Times New Roman"/>
          <w:color w:val="auto"/>
          <w:sz w:val="32"/>
          <w:szCs w:val="32"/>
        </w:rPr>
        <w:t>等同于</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r>
              <m:rPr>
                <m:sty m:val="p"/>
              </m:rPr>
              <w:rPr>
                <w:rFonts w:ascii="宋体" w:hAnsi="宋体" w:hint="eastAsia"/>
                <w:color w:val="auto"/>
                <w:sz w:val="32"/>
                <w:szCs w:val="32"/>
              </w:rPr>
              <m:t>Ⅱ</m:t>
            </m:r>
          </m:sub>
        </m:sSub>
      </m:oMath>
      <w:r>
        <w:rPr>
          <w:rFonts w:eastAsia="仿宋_GB2312" w:cs="Times New Roman"/>
          <w:color w:val="auto"/>
          <w:sz w:val="32"/>
          <w:szCs w:val="32"/>
        </w:rPr>
        <w:t>，</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g</m:t>
                </m:r>
              </m:e>
              <m:sub>
                <m:r>
                  <m:rPr>
                    <m:sty m:val="p"/>
                  </m:rPr>
                  <w:rPr>
                    <w:rFonts w:ascii="Cambria Math" w:eastAsia="仿宋_GB2312" w:hAnsi="Cambria Math" w:cs="Times New Roman"/>
                    <w:color w:val="auto"/>
                    <w:sz w:val="32"/>
                    <w:szCs w:val="32"/>
                  </w:rPr>
                  <m:t>3</m:t>
                </m:r>
              </m:sub>
            </m:sSub>
          </m:sub>
        </m:sSub>
      </m:oMath>
      <w:r>
        <w:rPr>
          <w:rFonts w:eastAsia="仿宋_GB2312" w:cs="Times New Roman"/>
          <w:color w:val="auto"/>
          <w:sz w:val="32"/>
          <w:szCs w:val="32"/>
        </w:rPr>
        <w:t>等同于</w:t>
      </w: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Y</m:t>
            </m:r>
          </m:e>
          <m:sub>
            <m:r>
              <m:rPr>
                <m:sty m:val="p"/>
              </m:rPr>
              <w:rPr>
                <w:rFonts w:ascii="宋体" w:hAnsi="宋体" w:hint="eastAsia"/>
                <w:color w:val="auto"/>
                <w:sz w:val="32"/>
                <w:szCs w:val="32"/>
              </w:rPr>
              <m:t>Ⅲ</m:t>
            </m:r>
          </m:sub>
        </m:sSub>
      </m:oMath>
      <w:r>
        <w:rPr>
          <w:rFonts w:eastAsia="仿宋_GB2312" w:cs="Times New Roman"/>
          <w:color w:val="auto"/>
          <w:sz w:val="32"/>
          <w:szCs w:val="32"/>
        </w:rPr>
        <w:t>。</w:t>
      </w:r>
    </w:p>
    <w:p w14:paraId="44160B8C" w14:textId="77777777" w:rsidR="00445F8C" w:rsidRDefault="00084192" w:rsidP="00084192">
      <w:pPr>
        <w:pStyle w:val="affb"/>
        <w:spacing w:line="540" w:lineRule="exact"/>
        <w:ind w:firstLine="640"/>
        <w:rPr>
          <w:rFonts w:eastAsia="仿宋_GB2312" w:cs="Times New Roman"/>
          <w:color w:val="auto"/>
          <w:sz w:val="32"/>
          <w:szCs w:val="32"/>
        </w:rPr>
      </w:pPr>
      <w:r>
        <w:rPr>
          <w:rFonts w:eastAsia="仿宋_GB2312" w:cs="Times New Roman"/>
          <w:color w:val="auto"/>
          <w:sz w:val="32"/>
          <w:szCs w:val="32"/>
        </w:rPr>
        <w:t>一级指标的权重之和应为</w:t>
      </w:r>
      <w:r>
        <w:rPr>
          <w:rFonts w:eastAsia="仿宋_GB2312" w:cs="Times New Roman"/>
          <w:color w:val="auto"/>
          <w:sz w:val="32"/>
          <w:szCs w:val="32"/>
        </w:rPr>
        <w:t>1</w:t>
      </w:r>
      <w:r>
        <w:rPr>
          <w:rFonts w:eastAsia="仿宋_GB2312" w:cs="Times New Roman"/>
          <w:color w:val="auto"/>
          <w:sz w:val="32"/>
          <w:szCs w:val="32"/>
        </w:rPr>
        <w:t>，每个一级指标下的二级指标权重之和也应为</w:t>
      </w:r>
      <w:r>
        <w:rPr>
          <w:rFonts w:eastAsia="仿宋_GB2312" w:cs="Times New Roman"/>
          <w:color w:val="auto"/>
          <w:sz w:val="32"/>
          <w:szCs w:val="32"/>
        </w:rPr>
        <w:t>1</w:t>
      </w:r>
      <w:r>
        <w:rPr>
          <w:rFonts w:eastAsia="仿宋_GB2312" w:cs="Times New Roman"/>
          <w:color w:val="auto"/>
          <w:sz w:val="32"/>
          <w:szCs w:val="32"/>
        </w:rPr>
        <w:t>。</w:t>
      </w:r>
    </w:p>
    <w:p w14:paraId="1CC5D7F9" w14:textId="50A4C4B9" w:rsidR="00445F8C" w:rsidRDefault="00084192" w:rsidP="00084192">
      <w:pPr>
        <w:pStyle w:val="affb"/>
        <w:spacing w:line="540" w:lineRule="exact"/>
        <w:ind w:firstLine="640"/>
        <w:rPr>
          <w:rFonts w:eastAsia="仿宋_GB2312" w:cs="Times New Roman"/>
          <w:color w:val="auto"/>
          <w:sz w:val="32"/>
          <w:szCs w:val="32"/>
        </w:rPr>
      </w:pPr>
      <w:r>
        <w:rPr>
          <w:rFonts w:eastAsia="仿宋_GB2312" w:cs="Times New Roman"/>
          <w:color w:val="auto"/>
          <w:sz w:val="32"/>
          <w:szCs w:val="32"/>
        </w:rPr>
        <w:lastRenderedPageBreak/>
        <w:t>指标权重采用专家咨询法确定</w:t>
      </w:r>
      <w:r w:rsidR="009B52FC">
        <w:rPr>
          <w:rFonts w:eastAsia="仿宋_GB2312" w:cs="Times New Roman" w:hint="eastAsia"/>
          <w:color w:val="auto"/>
          <w:sz w:val="32"/>
          <w:szCs w:val="32"/>
        </w:rPr>
        <w:t>。</w:t>
      </w:r>
      <w:r>
        <w:rPr>
          <w:rFonts w:eastAsia="仿宋_GB2312" w:cs="Times New Roman"/>
          <w:color w:val="auto"/>
          <w:sz w:val="32"/>
          <w:szCs w:val="32"/>
        </w:rPr>
        <w:t>通过向相关领域专家发放调查问卷征询权重意见，由组织者对专家意见进行汇总整理后反馈</w:t>
      </w:r>
      <w:proofErr w:type="gramStart"/>
      <w:r>
        <w:rPr>
          <w:rFonts w:eastAsia="仿宋_GB2312" w:cs="Times New Roman"/>
          <w:color w:val="auto"/>
          <w:sz w:val="32"/>
          <w:szCs w:val="32"/>
        </w:rPr>
        <w:t>给</w:t>
      </w:r>
      <w:r w:rsidR="009B52FC">
        <w:rPr>
          <w:rFonts w:eastAsia="仿宋_GB2312" w:cs="Times New Roman" w:hint="eastAsia"/>
          <w:color w:val="auto"/>
          <w:sz w:val="32"/>
          <w:szCs w:val="32"/>
        </w:rPr>
        <w:t>标准</w:t>
      </w:r>
      <w:proofErr w:type="gramEnd"/>
      <w:r w:rsidR="009B52FC">
        <w:rPr>
          <w:rFonts w:eastAsia="仿宋_GB2312" w:cs="Times New Roman" w:hint="eastAsia"/>
          <w:color w:val="auto"/>
          <w:sz w:val="32"/>
          <w:szCs w:val="32"/>
        </w:rPr>
        <w:t>编制组</w:t>
      </w:r>
      <w:r>
        <w:rPr>
          <w:rFonts w:eastAsia="仿宋_GB2312" w:cs="Times New Roman"/>
          <w:color w:val="auto"/>
          <w:sz w:val="32"/>
          <w:szCs w:val="32"/>
        </w:rPr>
        <w:t>，</w:t>
      </w:r>
      <w:r w:rsidR="009B52FC">
        <w:rPr>
          <w:rFonts w:eastAsia="仿宋_GB2312" w:cs="Times New Roman" w:hint="eastAsia"/>
          <w:color w:val="auto"/>
          <w:sz w:val="32"/>
          <w:szCs w:val="32"/>
        </w:rPr>
        <w:t>经过编制组</w:t>
      </w:r>
      <w:r>
        <w:rPr>
          <w:rFonts w:eastAsia="仿宋_GB2312" w:cs="Times New Roman"/>
          <w:color w:val="auto"/>
          <w:sz w:val="32"/>
          <w:szCs w:val="32"/>
        </w:rPr>
        <w:t>进一步分析和修正。经多轮咨询，使意见趋于一致，最终确定各级评价指标的权重。</w:t>
      </w:r>
    </w:p>
    <w:p w14:paraId="79AD7F2E" w14:textId="77777777" w:rsidR="00445F8C" w:rsidRDefault="00084192" w:rsidP="00084192">
      <w:pPr>
        <w:pStyle w:val="affb"/>
        <w:spacing w:line="540" w:lineRule="exact"/>
        <w:ind w:firstLine="640"/>
        <w:rPr>
          <w:rFonts w:eastAsia="仿宋_GB2312" w:cs="Times New Roman"/>
          <w:color w:val="auto"/>
          <w:sz w:val="32"/>
          <w:szCs w:val="32"/>
        </w:rPr>
      </w:pPr>
      <w:r>
        <w:rPr>
          <w:rFonts w:eastAsia="仿宋_GB2312" w:cs="Times New Roman"/>
          <w:color w:val="auto"/>
          <w:sz w:val="32"/>
          <w:szCs w:val="32"/>
        </w:rPr>
        <w:t>企业在实际评价过程中，当某类一级指标项下的二级指标项数少于规定的项数时，应对该类一级指标项下各二级指标分权重进行调整。调整后的二级指标分权重值计算公式如公式（</w:t>
      </w:r>
      <w:r>
        <w:rPr>
          <w:rFonts w:eastAsia="仿宋_GB2312" w:cs="Times New Roman"/>
          <w:color w:val="auto"/>
          <w:sz w:val="32"/>
          <w:szCs w:val="32"/>
        </w:rPr>
        <w:t>3</w:t>
      </w:r>
      <w:r>
        <w:rPr>
          <w:rFonts w:eastAsia="仿宋_GB2312" w:cs="Times New Roman"/>
          <w:color w:val="auto"/>
          <w:sz w:val="32"/>
          <w:szCs w:val="32"/>
        </w:rPr>
        <w:t>）所示。</w:t>
      </w:r>
    </w:p>
    <w:p w14:paraId="0FF511CF" w14:textId="77777777" w:rsidR="00445F8C" w:rsidRDefault="00084192">
      <w:pPr>
        <w:pStyle w:val="affb"/>
        <w:ind w:firstLine="640"/>
        <w:jc w:val="center"/>
        <w:rPr>
          <w:rFonts w:eastAsia="仿宋_GB2312" w:cs="Times New Roman"/>
          <w:color w:val="auto"/>
          <w:sz w:val="32"/>
          <w:szCs w:val="32"/>
        </w:rPr>
      </w:pPr>
      <m:oMath>
        <m:sSubSup>
          <m:sSubSupPr>
            <m:ctrlPr>
              <w:rPr>
                <w:rFonts w:ascii="Cambria Math" w:eastAsia="仿宋_GB2312" w:hAnsi="Cambria Math" w:cs="Times New Roman"/>
                <w:color w:val="auto"/>
                <w:sz w:val="32"/>
                <w:szCs w:val="32"/>
              </w:rPr>
            </m:ctrlPr>
          </m:sSubSup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up>
            <m:r>
              <m:rPr>
                <m:sty m:val="p"/>
              </m:rPr>
              <w:rPr>
                <w:rFonts w:ascii="Cambria Math" w:eastAsia="仿宋_GB2312" w:hAnsi="Cambria Math" w:cs="Times New Roman"/>
                <w:color w:val="auto"/>
                <w:sz w:val="32"/>
                <w:szCs w:val="32"/>
              </w:rPr>
              <m:t>'</m:t>
            </m:r>
          </m:sup>
        </m:sSubSup>
        <m:r>
          <m:rPr>
            <m:sty m:val="p"/>
          </m:rPr>
          <w:rPr>
            <w:rFonts w:ascii="Cambria Math" w:eastAsia="仿宋_GB2312" w:hAnsi="Cambria Math" w:cs="Times New Roman"/>
            <w:color w:val="auto"/>
            <w:sz w:val="32"/>
            <w:szCs w:val="32"/>
          </w:rPr>
          <m:t>=</m:t>
        </m:r>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Sub>
        <m:r>
          <m:rPr>
            <m:sty m:val="p"/>
          </m:rPr>
          <w:rPr>
            <w:rFonts w:ascii="Cambria Math" w:eastAsia="仿宋_GB2312" w:hAnsi="Cambria Math" w:cs="Times New Roman"/>
            <w:color w:val="auto"/>
            <w:sz w:val="32"/>
            <w:szCs w:val="32"/>
          </w:rPr>
          <m:t>×</m:t>
        </m:r>
        <m:d>
          <m:dPr>
            <m:ctrlPr>
              <w:rPr>
                <w:rFonts w:ascii="Cambria Math" w:eastAsia="仿宋_GB2312" w:hAnsi="Cambria Math" w:cs="Times New Roman"/>
                <w:color w:val="auto"/>
                <w:sz w:val="32"/>
                <w:szCs w:val="32"/>
              </w:rPr>
            </m:ctrlPr>
          </m:dPr>
          <m:e>
            <m:f>
              <m:fPr>
                <m:ctrlPr>
                  <w:rPr>
                    <w:rFonts w:ascii="Cambria Math" w:eastAsia="仿宋_GB2312" w:hAnsi="Cambria Math" w:cs="Times New Roman"/>
                    <w:color w:val="auto"/>
                    <w:sz w:val="32"/>
                    <w:szCs w:val="32"/>
                  </w:rPr>
                </m:ctrlPr>
              </m:fPr>
              <m:num>
                <m:r>
                  <m:rPr>
                    <m:sty m:val="p"/>
                  </m:rPr>
                  <w:rPr>
                    <w:rFonts w:ascii="Cambria Math" w:eastAsia="仿宋_GB2312" w:hAnsi="Cambria Math" w:cs="Times New Roman"/>
                    <w:color w:val="auto"/>
                    <w:sz w:val="32"/>
                    <w:szCs w:val="32"/>
                  </w:rPr>
                  <m:t>1</m:t>
                </m:r>
              </m:num>
              <m:den>
                <m:nary>
                  <m:naryPr>
                    <m:chr m:val="∑"/>
                    <m:limLoc m:val="undOvr"/>
                    <m:ctrlPr>
                      <w:rPr>
                        <w:rFonts w:ascii="Cambria Math" w:eastAsia="仿宋_GB2312" w:hAnsi="Cambria Math" w:cs="Times New Roman"/>
                        <w:color w:val="auto"/>
                        <w:sz w:val="32"/>
                        <w:szCs w:val="32"/>
                      </w:rPr>
                    </m:ctrlPr>
                  </m:naryPr>
                  <m:sub>
                    <m:r>
                      <m:rPr>
                        <m:sty m:val="p"/>
                      </m:rPr>
                      <w:rPr>
                        <w:rFonts w:ascii="Cambria Math" w:eastAsia="仿宋_GB2312" w:hAnsi="Cambria Math" w:cs="Times New Roman"/>
                        <w:color w:val="auto"/>
                        <w:sz w:val="32"/>
                        <w:szCs w:val="32"/>
                      </w:rPr>
                      <m:t>j=1</m:t>
                    </m:r>
                  </m:sub>
                  <m:sup>
                    <m:r>
                      <m:rPr>
                        <m:sty m:val="p"/>
                      </m:rPr>
                      <w:rPr>
                        <w:rFonts w:ascii="Cambria Math" w:eastAsia="仿宋_GB2312" w:hAnsi="Cambria Math" w:cs="Times New Roman"/>
                        <w:color w:val="auto"/>
                        <w:sz w:val="32"/>
                        <w:szCs w:val="32"/>
                      </w:rPr>
                      <m:t>n</m:t>
                    </m:r>
                  </m:sup>
                  <m:e>
                    <m:sSubSup>
                      <m:sSubSupPr>
                        <m:ctrlPr>
                          <w:rPr>
                            <w:rFonts w:ascii="Cambria Math" w:eastAsia="仿宋_GB2312" w:hAnsi="Cambria Math" w:cs="Times New Roman"/>
                            <w:color w:val="auto"/>
                            <w:sz w:val="32"/>
                            <w:szCs w:val="32"/>
                          </w:rPr>
                        </m:ctrlPr>
                      </m:sSubSup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up>
                        <m:r>
                          <m:rPr>
                            <m:sty m:val="p"/>
                          </m:rPr>
                          <w:rPr>
                            <w:rFonts w:ascii="Cambria Math" w:eastAsia="仿宋_GB2312" w:hAnsi="Cambria Math" w:cs="Times New Roman"/>
                            <w:color w:val="auto"/>
                            <w:sz w:val="32"/>
                            <w:szCs w:val="32"/>
                          </w:rPr>
                          <m:t>''</m:t>
                        </m:r>
                      </m:sup>
                    </m:sSubSup>
                  </m:e>
                </m:nary>
              </m:den>
            </m:f>
          </m:e>
        </m:d>
      </m:oMath>
      <w:r>
        <w:rPr>
          <w:rFonts w:eastAsia="仿宋_GB2312" w:cs="Times New Roman"/>
          <w:color w:val="auto"/>
          <w:sz w:val="32"/>
          <w:szCs w:val="32"/>
        </w:rPr>
        <w:t xml:space="preserve">           (</w:t>
      </w:r>
      <w:r>
        <w:rPr>
          <w:rFonts w:eastAsia="仿宋_GB2312" w:cs="Times New Roman"/>
          <w:color w:val="auto"/>
          <w:sz w:val="32"/>
          <w:szCs w:val="32"/>
        </w:rPr>
        <w:fldChar w:fldCharType="begin"/>
      </w:r>
      <w:r>
        <w:rPr>
          <w:rFonts w:eastAsia="仿宋_GB2312" w:cs="Times New Roman"/>
          <w:color w:val="auto"/>
          <w:sz w:val="32"/>
          <w:szCs w:val="32"/>
        </w:rPr>
        <w:instrText xml:space="preserve"> AUTONUM </w:instrText>
      </w:r>
      <w:r>
        <w:rPr>
          <w:rFonts w:eastAsia="仿宋_GB2312" w:cs="Times New Roman"/>
          <w:color w:val="auto"/>
          <w:sz w:val="32"/>
          <w:szCs w:val="32"/>
        </w:rPr>
        <w:fldChar w:fldCharType="end"/>
      </w:r>
      <w:r>
        <w:rPr>
          <w:rFonts w:eastAsia="仿宋_GB2312" w:cs="Times New Roman"/>
          <w:color w:val="auto"/>
          <w:sz w:val="32"/>
          <w:szCs w:val="32"/>
        </w:rPr>
        <w:t>)</w:t>
      </w:r>
    </w:p>
    <w:p w14:paraId="47B8DCAF"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式中：</w:t>
      </w:r>
    </w:p>
    <w:p w14:paraId="19F6FF0B" w14:textId="77777777" w:rsidR="00445F8C" w:rsidRDefault="00084192">
      <w:pPr>
        <w:pStyle w:val="affb"/>
        <w:spacing w:line="560" w:lineRule="exact"/>
        <w:ind w:firstLine="640"/>
        <w:rPr>
          <w:rFonts w:eastAsia="仿宋_GB2312" w:cs="Times New Roman"/>
          <w:color w:val="auto"/>
          <w:sz w:val="32"/>
          <w:szCs w:val="32"/>
        </w:rPr>
      </w:pPr>
      <m:oMath>
        <m:sSubSup>
          <m:sSubSupPr>
            <m:ctrlPr>
              <w:rPr>
                <w:rFonts w:ascii="Cambria Math" w:eastAsia="仿宋_GB2312" w:hAnsi="Cambria Math" w:cs="Times New Roman"/>
                <w:color w:val="auto"/>
                <w:sz w:val="32"/>
                <w:szCs w:val="32"/>
              </w:rPr>
            </m:ctrlPr>
          </m:sSubSup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up>
            <m:r>
              <m:rPr>
                <m:sty m:val="p"/>
              </m:rPr>
              <w:rPr>
                <w:rFonts w:ascii="Cambria Math" w:eastAsia="仿宋_GB2312" w:hAnsi="Cambria Math" w:cs="Times New Roman"/>
                <w:color w:val="auto"/>
                <w:sz w:val="32"/>
                <w:szCs w:val="32"/>
              </w:rPr>
              <m:t>'</m:t>
            </m:r>
          </m:sup>
        </m:sSubSup>
      </m:oMath>
      <w:r>
        <w:rPr>
          <w:rFonts w:eastAsia="仿宋_GB2312" w:cs="Times New Roman"/>
          <w:color w:val="auto"/>
          <w:sz w:val="32"/>
          <w:szCs w:val="32"/>
        </w:rPr>
        <w:t xml:space="preserve"> ——</w:t>
      </w:r>
      <w:r>
        <w:rPr>
          <w:rFonts w:eastAsia="仿宋_GB2312" w:cs="Times New Roman"/>
          <w:color w:val="auto"/>
          <w:sz w:val="32"/>
          <w:szCs w:val="32"/>
        </w:rPr>
        <w:t>调整后的二级指标项分权重值，</w:t>
      </w:r>
      <m:oMath>
        <m:nary>
          <m:naryPr>
            <m:chr m:val="∑"/>
            <m:limLoc m:val="undOvr"/>
            <m:ctrlPr>
              <w:rPr>
                <w:rFonts w:ascii="Cambria Math" w:eastAsia="仿宋_GB2312" w:hAnsi="Cambria Math" w:cs="Times New Roman"/>
                <w:color w:val="auto"/>
                <w:sz w:val="32"/>
                <w:szCs w:val="32"/>
              </w:rPr>
            </m:ctrlPr>
          </m:naryPr>
          <m:sub>
            <m:r>
              <m:rPr>
                <m:sty m:val="p"/>
              </m:rPr>
              <w:rPr>
                <w:rFonts w:ascii="Cambria Math" w:eastAsia="仿宋_GB2312" w:hAnsi="Cambria Math" w:cs="Times New Roman"/>
                <w:color w:val="auto"/>
                <w:sz w:val="32"/>
                <w:szCs w:val="32"/>
              </w:rPr>
              <m:t>j=1</m:t>
            </m:r>
          </m:sub>
          <m:sup>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n</m:t>
                </m:r>
              </m:e>
              <m:sub>
                <m:r>
                  <m:rPr>
                    <m:sty m:val="p"/>
                  </m:rPr>
                  <w:rPr>
                    <w:rFonts w:ascii="Cambria Math" w:eastAsia="仿宋_GB2312" w:hAnsi="Cambria Math" w:cs="Times New Roman"/>
                    <w:color w:val="auto"/>
                    <w:sz w:val="32"/>
                    <w:szCs w:val="32"/>
                  </w:rPr>
                  <m:t>i</m:t>
                </m:r>
              </m:sub>
            </m:sSub>
          </m:sup>
          <m:e>
            <m:sSubSup>
              <m:sSubSupPr>
                <m:ctrlPr>
                  <w:rPr>
                    <w:rFonts w:ascii="Cambria Math" w:eastAsia="仿宋_GB2312" w:hAnsi="Cambria Math" w:cs="Times New Roman"/>
                    <w:color w:val="auto"/>
                    <w:sz w:val="32"/>
                    <w:szCs w:val="32"/>
                  </w:rPr>
                </m:ctrlPr>
              </m:sSubSup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up>
                <m:r>
                  <m:rPr>
                    <m:sty m:val="p"/>
                  </m:rPr>
                  <w:rPr>
                    <w:rFonts w:ascii="Cambria Math" w:eastAsia="仿宋_GB2312" w:hAnsi="Cambria Math" w:cs="Times New Roman"/>
                    <w:color w:val="auto"/>
                    <w:sz w:val="32"/>
                    <w:szCs w:val="32"/>
                  </w:rPr>
                  <m:t>'</m:t>
                </m:r>
              </m:sup>
            </m:sSubSup>
          </m:e>
        </m:nary>
        <m:r>
          <m:rPr>
            <m:sty m:val="p"/>
          </m:rPr>
          <w:rPr>
            <w:rFonts w:ascii="Cambria Math" w:eastAsia="仿宋_GB2312" w:hAnsi="Cambria Math" w:cs="Times New Roman"/>
            <w:color w:val="auto"/>
            <w:sz w:val="32"/>
            <w:szCs w:val="32"/>
          </w:rPr>
          <m:t>=1</m:t>
        </m:r>
      </m:oMath>
      <w:r>
        <w:rPr>
          <w:rFonts w:eastAsia="仿宋_GB2312" w:cs="Times New Roman"/>
          <w:color w:val="auto"/>
          <w:sz w:val="32"/>
          <w:szCs w:val="32"/>
        </w:rPr>
        <w:t>；</w:t>
      </w:r>
    </w:p>
    <w:p w14:paraId="33A2F7D4" w14:textId="77777777" w:rsidR="00445F8C" w:rsidRDefault="00084192">
      <w:pPr>
        <w:pStyle w:val="affb"/>
        <w:spacing w:line="560" w:lineRule="exact"/>
        <w:ind w:firstLine="640"/>
        <w:rPr>
          <w:rFonts w:eastAsia="仿宋_GB2312" w:cs="Times New Roman"/>
          <w:color w:val="auto"/>
          <w:sz w:val="32"/>
          <w:szCs w:val="32"/>
        </w:rPr>
      </w:pPr>
      <m:oMath>
        <m:sSub>
          <m:sSubPr>
            <m:ctrlPr>
              <w:rPr>
                <w:rFonts w:ascii="Cambria Math" w:eastAsia="仿宋_GB2312" w:hAnsi="Cambria Math" w:cs="Times New Roman"/>
                <w:color w:val="auto"/>
                <w:sz w:val="32"/>
                <w:szCs w:val="32"/>
              </w:rPr>
            </m:ctrlPr>
          </m:sSub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Sub>
      </m:oMath>
      <w:r>
        <w:rPr>
          <w:rFonts w:eastAsia="仿宋_GB2312" w:cs="Times New Roman"/>
          <w:color w:val="auto"/>
          <w:sz w:val="32"/>
          <w:szCs w:val="32"/>
        </w:rPr>
        <w:t xml:space="preserve"> ——</w:t>
      </w:r>
      <w:r>
        <w:rPr>
          <w:rFonts w:eastAsia="仿宋_GB2312" w:cs="Times New Roman"/>
          <w:color w:val="auto"/>
          <w:sz w:val="32"/>
          <w:szCs w:val="32"/>
        </w:rPr>
        <w:t>原二级指标分权重值；</w:t>
      </w:r>
    </w:p>
    <w:p w14:paraId="0E0A47A7" w14:textId="77777777" w:rsidR="00445F8C" w:rsidRDefault="00084192">
      <w:pPr>
        <w:pStyle w:val="affb"/>
        <w:spacing w:line="560" w:lineRule="exact"/>
        <w:ind w:firstLine="640"/>
        <w:rPr>
          <w:rFonts w:eastAsia="仿宋_GB2312" w:cs="Times New Roman"/>
          <w:color w:val="auto"/>
          <w:sz w:val="32"/>
          <w:szCs w:val="32"/>
        </w:rPr>
      </w:pPr>
      <m:oMath>
        <m:sSubSup>
          <m:sSubSupPr>
            <m:ctrlPr>
              <w:rPr>
                <w:rFonts w:ascii="Cambria Math" w:eastAsia="仿宋_GB2312" w:hAnsi="Cambria Math" w:cs="Times New Roman"/>
                <w:color w:val="auto"/>
                <w:sz w:val="32"/>
                <w:szCs w:val="32"/>
              </w:rPr>
            </m:ctrlPr>
          </m:sSubSupPr>
          <m:e>
            <m:r>
              <m:rPr>
                <m:sty m:val="p"/>
              </m:rPr>
              <w:rPr>
                <w:rFonts w:ascii="Cambria Math" w:eastAsia="仿宋_GB2312" w:hAnsi="Cambria Math" w:cs="Times New Roman"/>
                <w:color w:val="auto"/>
                <w:sz w:val="32"/>
                <w:szCs w:val="32"/>
              </w:rPr>
              <m:t>ω</m:t>
            </m:r>
          </m:e>
          <m:sub>
            <m:r>
              <m:rPr>
                <m:sty m:val="p"/>
              </m:rPr>
              <w:rPr>
                <w:rFonts w:ascii="Cambria Math" w:eastAsia="仿宋_GB2312" w:hAnsi="Cambria Math" w:cs="Times New Roman"/>
                <w:color w:val="auto"/>
                <w:sz w:val="32"/>
                <w:szCs w:val="32"/>
              </w:rPr>
              <m:t>ij</m:t>
            </m:r>
          </m:sub>
          <m:sup>
            <m:r>
              <m:rPr>
                <m:sty m:val="p"/>
              </m:rPr>
              <w:rPr>
                <w:rFonts w:ascii="Cambria Math" w:eastAsia="仿宋_GB2312" w:hAnsi="Cambria Math" w:cs="Times New Roman"/>
                <w:color w:val="auto"/>
                <w:sz w:val="32"/>
                <w:szCs w:val="32"/>
              </w:rPr>
              <m:t>''</m:t>
            </m:r>
          </m:sup>
        </m:sSubSup>
      </m:oMath>
      <w:r>
        <w:rPr>
          <w:rFonts w:eastAsia="仿宋_GB2312" w:cs="Times New Roman"/>
          <w:color w:val="auto"/>
          <w:sz w:val="32"/>
          <w:szCs w:val="32"/>
        </w:rPr>
        <w:t xml:space="preserve"> ——</w:t>
      </w:r>
      <w:r>
        <w:rPr>
          <w:rFonts w:eastAsia="仿宋_GB2312" w:cs="Times New Roman"/>
          <w:color w:val="auto"/>
          <w:sz w:val="32"/>
          <w:szCs w:val="32"/>
        </w:rPr>
        <w:t>实际参与考核的该一级指标项下的二级指标分权重值；</w:t>
      </w:r>
    </w:p>
    <w:p w14:paraId="3B6B77A8" w14:textId="77777777" w:rsidR="00445F8C" w:rsidRDefault="00084192">
      <w:pPr>
        <w:pStyle w:val="affb"/>
        <w:spacing w:line="560" w:lineRule="exact"/>
        <w:ind w:firstLine="640"/>
        <w:rPr>
          <w:rFonts w:eastAsia="仿宋_GB2312" w:cs="Times New Roman"/>
          <w:color w:val="auto"/>
          <w:sz w:val="32"/>
          <w:szCs w:val="32"/>
        </w:rPr>
      </w:pPr>
      <w:r>
        <w:rPr>
          <w:rFonts w:eastAsia="仿宋_GB2312" w:cs="Times New Roman"/>
          <w:color w:val="auto"/>
          <w:sz w:val="32"/>
          <w:szCs w:val="32"/>
        </w:rPr>
        <w:t>i   ——</w:t>
      </w:r>
      <w:r>
        <w:rPr>
          <w:rFonts w:eastAsia="仿宋_GB2312" w:cs="Times New Roman"/>
          <w:color w:val="auto"/>
          <w:sz w:val="32"/>
          <w:szCs w:val="32"/>
        </w:rPr>
        <w:t>一级指标项数；</w:t>
      </w:r>
    </w:p>
    <w:p w14:paraId="24DA4565" w14:textId="77777777" w:rsidR="00445F8C" w:rsidRDefault="00084192">
      <w:pPr>
        <w:autoSpaceDE w:val="0"/>
        <w:autoSpaceDN w:val="0"/>
        <w:adjustRightInd w:val="0"/>
        <w:spacing w:line="560" w:lineRule="exact"/>
        <w:ind w:firstLine="640"/>
        <w:jc w:val="left"/>
      </w:pPr>
      <w:r>
        <w:rPr>
          <w:szCs w:val="32"/>
        </w:rPr>
        <w:t>j   ——</w:t>
      </w:r>
      <w:r>
        <w:rPr>
          <w:szCs w:val="32"/>
        </w:rPr>
        <w:t>二级指标项数，</w:t>
      </w:r>
      <w:r>
        <w:rPr>
          <w:szCs w:val="32"/>
        </w:rPr>
        <w:t>j = 1</w:t>
      </w:r>
      <w:r>
        <w:rPr>
          <w:szCs w:val="32"/>
        </w:rPr>
        <w:t>，</w:t>
      </w:r>
      <w:r>
        <w:rPr>
          <w:szCs w:val="32"/>
        </w:rPr>
        <w:t>2</w:t>
      </w:r>
      <w:r>
        <w:rPr>
          <w:szCs w:val="32"/>
        </w:rPr>
        <w:t>，</w:t>
      </w:r>
      <w:r>
        <w:rPr>
          <w:szCs w:val="32"/>
        </w:rPr>
        <w:t>…</w:t>
      </w:r>
      <w:r>
        <w:rPr>
          <w:szCs w:val="32"/>
        </w:rPr>
        <w:t>，</w:t>
      </w:r>
      <w:r>
        <w:rPr>
          <w:szCs w:val="32"/>
        </w:rPr>
        <w:t>n</w:t>
      </w:r>
      <w:r>
        <w:rPr>
          <w:szCs w:val="32"/>
        </w:rPr>
        <w:t>。</w:t>
      </w:r>
    </w:p>
    <w:p w14:paraId="64A4F39A" w14:textId="77777777" w:rsidR="00445F8C" w:rsidRDefault="00084192">
      <w:pPr>
        <w:pStyle w:val="aff6"/>
        <w:numPr>
          <w:ilvl w:val="0"/>
          <w:numId w:val="18"/>
        </w:numPr>
        <w:autoSpaceDE w:val="0"/>
        <w:autoSpaceDN w:val="0"/>
        <w:adjustRightInd w:val="0"/>
        <w:spacing w:line="560" w:lineRule="exact"/>
        <w:ind w:left="0" w:firstLine="640"/>
        <w:jc w:val="left"/>
        <w:rPr>
          <w:rFonts w:eastAsia="黑体"/>
          <w:szCs w:val="32"/>
        </w:rPr>
      </w:pPr>
      <w:r>
        <w:rPr>
          <w:rFonts w:eastAsia="黑体"/>
          <w:szCs w:val="32"/>
        </w:rPr>
        <w:t>高效清洁燃烧企业主体的评定</w:t>
      </w:r>
    </w:p>
    <w:p w14:paraId="272258D4" w14:textId="77777777" w:rsidR="00445F8C" w:rsidRDefault="00084192" w:rsidP="00084192">
      <w:pPr>
        <w:autoSpaceDE w:val="0"/>
        <w:autoSpaceDN w:val="0"/>
        <w:adjustRightInd w:val="0"/>
        <w:spacing w:line="540" w:lineRule="exact"/>
        <w:ind w:firstLine="640"/>
        <w:jc w:val="left"/>
        <w:rPr>
          <w:iCs/>
          <w:szCs w:val="21"/>
        </w:rPr>
      </w:pPr>
      <w:r>
        <w:rPr>
          <w:iCs/>
          <w:szCs w:val="21"/>
        </w:rPr>
        <w:t>对生物质锅炉清洁燃烧水平的评价，以生物质锅炉清洁燃烧综合评价指标为依据。通过对评价周期内生物质锅炉在生产工艺和装备、能源与资源消耗、综合利用与可靠性、大气污染物排放</w:t>
      </w:r>
      <w:bookmarkStart w:id="10" w:name="_GoBack"/>
      <w:r>
        <w:rPr>
          <w:iCs/>
          <w:szCs w:val="21"/>
        </w:rPr>
        <w:t>及温室气体排放等方面指标进行综合评价，形成生物质锅炉清洁</w:t>
      </w:r>
      <w:bookmarkEnd w:id="10"/>
      <w:r>
        <w:rPr>
          <w:iCs/>
          <w:szCs w:val="21"/>
        </w:rPr>
        <w:t>燃烧综合评价指标值，并据此确定其清洁燃烧等级。</w:t>
      </w:r>
    </w:p>
    <w:p w14:paraId="6BB6767C" w14:textId="77777777" w:rsidR="00445F8C" w:rsidRDefault="00084192" w:rsidP="00084192">
      <w:pPr>
        <w:autoSpaceDE w:val="0"/>
        <w:autoSpaceDN w:val="0"/>
        <w:adjustRightInd w:val="0"/>
        <w:spacing w:line="540" w:lineRule="exact"/>
        <w:ind w:firstLine="640"/>
        <w:jc w:val="left"/>
        <w:rPr>
          <w:iCs/>
          <w:szCs w:val="21"/>
        </w:rPr>
      </w:pPr>
      <w:proofErr w:type="gramStart"/>
      <w:r>
        <w:rPr>
          <w:iCs/>
          <w:szCs w:val="21"/>
        </w:rPr>
        <w:t>本评价</w:t>
      </w:r>
      <w:proofErr w:type="gramEnd"/>
      <w:r>
        <w:rPr>
          <w:iCs/>
          <w:szCs w:val="21"/>
        </w:rPr>
        <w:t>指标体系将生物质锅炉清洁燃烧水平划分为三级，分别为生物质锅炉清洁燃烧水平领先、生物质锅炉清洁燃烧水平先</w:t>
      </w:r>
      <w:r>
        <w:rPr>
          <w:iCs/>
          <w:szCs w:val="21"/>
        </w:rPr>
        <w:lastRenderedPageBreak/>
        <w:t>进和生物质锅炉清洁燃烧。生物质锅炉清洁燃烧等级的评定，应同时满足综合评价指标值要求和限定性指标要求。</w:t>
      </w:r>
    </w:p>
    <w:p w14:paraId="51EC5919" w14:textId="77777777" w:rsidR="00445F8C" w:rsidRDefault="00084192" w:rsidP="00084192">
      <w:pPr>
        <w:autoSpaceDE w:val="0"/>
        <w:autoSpaceDN w:val="0"/>
        <w:adjustRightInd w:val="0"/>
        <w:spacing w:line="540" w:lineRule="exact"/>
        <w:ind w:firstLine="640"/>
        <w:jc w:val="left"/>
        <w:rPr>
          <w:iCs/>
          <w:szCs w:val="21"/>
        </w:rPr>
      </w:pPr>
      <w:r>
        <w:rPr>
          <w:iCs/>
          <w:szCs w:val="21"/>
        </w:rPr>
        <w:t>在进行等级评定时，除综合评价指标值达到相应等级规定的分值区间外，限定性指标应全部满足对应等级的基准值要求；限定性指标未全部满足的，不得评定为该等级。该评定原则用于确保评价结果既反映生物质锅炉清洁燃烧的综合水平，又满足运行安全、污染物控制和规范管理等基本约束要求。</w:t>
      </w:r>
    </w:p>
    <w:p w14:paraId="7322FD34" w14:textId="77777777" w:rsidR="00445F8C" w:rsidRDefault="00084192" w:rsidP="00084192">
      <w:pPr>
        <w:autoSpaceDE w:val="0"/>
        <w:autoSpaceDN w:val="0"/>
        <w:adjustRightInd w:val="0"/>
        <w:spacing w:line="540" w:lineRule="exact"/>
        <w:ind w:firstLine="640"/>
        <w:jc w:val="left"/>
        <w:rPr>
          <w:iCs/>
          <w:szCs w:val="21"/>
        </w:rPr>
      </w:pPr>
      <w:r>
        <w:rPr>
          <w:iCs/>
          <w:szCs w:val="21"/>
        </w:rPr>
        <w:t>根据</w:t>
      </w:r>
      <w:proofErr w:type="gramStart"/>
      <w:r>
        <w:rPr>
          <w:iCs/>
          <w:szCs w:val="21"/>
        </w:rPr>
        <w:t>本评价</w:t>
      </w:r>
      <w:proofErr w:type="gramEnd"/>
      <w:r>
        <w:rPr>
          <w:iCs/>
          <w:szCs w:val="21"/>
        </w:rPr>
        <w:t>指标体系的设定，不同清洁燃烧等级对应的综合评价指标值要求见表</w:t>
      </w:r>
      <w:r>
        <w:rPr>
          <w:iCs/>
          <w:szCs w:val="21"/>
        </w:rPr>
        <w:t>4-3</w:t>
      </w:r>
      <w:r>
        <w:rPr>
          <w:iCs/>
          <w:szCs w:val="21"/>
        </w:rPr>
        <w:t>。</w:t>
      </w:r>
    </w:p>
    <w:p w14:paraId="2058AE07" w14:textId="77777777" w:rsidR="00445F8C" w:rsidRDefault="00084192">
      <w:pPr>
        <w:autoSpaceDE w:val="0"/>
        <w:autoSpaceDN w:val="0"/>
        <w:adjustRightInd w:val="0"/>
        <w:spacing w:line="560" w:lineRule="exact"/>
        <w:ind w:firstLineChars="0"/>
        <w:jc w:val="left"/>
        <w:rPr>
          <w:iCs/>
          <w:szCs w:val="21"/>
        </w:rPr>
      </w:pPr>
      <w:r>
        <w:rPr>
          <w:iCs/>
          <w:szCs w:val="21"/>
        </w:rPr>
        <w:t>表</w:t>
      </w:r>
      <w:r>
        <w:rPr>
          <w:iCs/>
          <w:szCs w:val="21"/>
        </w:rPr>
        <w:t xml:space="preserve">4-1 </w:t>
      </w:r>
      <w:r>
        <w:rPr>
          <w:iCs/>
          <w:szCs w:val="21"/>
        </w:rPr>
        <w:t>生物质锅炉清洁燃烧等级与综合评价指标值</w:t>
      </w:r>
    </w:p>
    <w:tbl>
      <w:tblPr>
        <w:tblStyle w:val="afd"/>
        <w:tblW w:w="922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45"/>
        <w:gridCol w:w="5779"/>
      </w:tblGrid>
      <w:tr w:rsidR="00445F8C" w14:paraId="25CAF36E" w14:textId="77777777" w:rsidTr="00084192">
        <w:trPr>
          <w:trHeight w:val="283"/>
          <w:tblHeader/>
          <w:jc w:val="center"/>
        </w:trPr>
        <w:tc>
          <w:tcPr>
            <w:tcW w:w="3445" w:type="dxa"/>
            <w:tcBorders>
              <w:top w:val="single" w:sz="8" w:space="0" w:color="auto"/>
              <w:bottom w:val="single" w:sz="8" w:space="0" w:color="auto"/>
            </w:tcBorders>
            <w:vAlign w:val="center"/>
          </w:tcPr>
          <w:p w14:paraId="0518F905"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w:r>
              <w:rPr>
                <w:rFonts w:ascii="Times New Roman" w:cs="Times New Roman"/>
                <w:snapToGrid/>
                <w:color w:val="auto"/>
                <w:szCs w:val="21"/>
              </w:rPr>
              <w:t>生物质锅炉清洁燃烧等级</w:t>
            </w:r>
          </w:p>
        </w:tc>
        <w:tc>
          <w:tcPr>
            <w:tcW w:w="5779" w:type="dxa"/>
            <w:tcBorders>
              <w:top w:val="single" w:sz="8" w:space="0" w:color="auto"/>
              <w:bottom w:val="single" w:sz="8" w:space="0" w:color="auto"/>
            </w:tcBorders>
            <w:vAlign w:val="center"/>
          </w:tcPr>
          <w:p w14:paraId="2A15EA51"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w:r>
              <w:rPr>
                <w:rFonts w:ascii="Times New Roman" w:cs="Times New Roman"/>
                <w:snapToGrid/>
                <w:color w:val="auto"/>
                <w:szCs w:val="21"/>
              </w:rPr>
              <w:t>生物质锅炉清洁燃烧综合评价指标值</w:t>
            </w:r>
            <w:r>
              <w:rPr>
                <w:rFonts w:ascii="Times New Roman" w:cs="Times New Roman"/>
                <w:snapToGrid/>
                <w:color w:val="auto"/>
                <w:szCs w:val="21"/>
              </w:rPr>
              <w:t xml:space="preserve"> </w:t>
            </w:r>
            <w:r>
              <w:rPr>
                <w:rFonts w:ascii="Times New Roman" w:cs="Times New Roman"/>
                <w:i/>
                <w:iCs/>
                <w:snapToGrid/>
                <w:color w:val="auto"/>
                <w:szCs w:val="21"/>
              </w:rPr>
              <w:t>Y</w:t>
            </w:r>
          </w:p>
        </w:tc>
      </w:tr>
      <w:tr w:rsidR="00445F8C" w14:paraId="3683D7F8" w14:textId="77777777" w:rsidTr="00084192">
        <w:trPr>
          <w:trHeight w:val="283"/>
          <w:jc w:val="center"/>
        </w:trPr>
        <w:tc>
          <w:tcPr>
            <w:tcW w:w="3445" w:type="dxa"/>
            <w:tcBorders>
              <w:top w:val="single" w:sz="8" w:space="0" w:color="auto"/>
            </w:tcBorders>
            <w:vAlign w:val="center"/>
          </w:tcPr>
          <w:p w14:paraId="75E979CE"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w:r>
              <w:rPr>
                <w:rFonts w:ascii="Times New Roman" w:cs="Times New Roman"/>
                <w:color w:val="auto"/>
                <w:szCs w:val="21"/>
              </w:rPr>
              <w:t>一级</w:t>
            </w:r>
            <w:r>
              <w:rPr>
                <w:rFonts w:ascii="Times New Roman" w:cs="Times New Roman"/>
                <w:color w:val="auto"/>
                <w:szCs w:val="21"/>
              </w:rPr>
              <w:t xml:space="preserve">  </w:t>
            </w:r>
            <w:r>
              <w:rPr>
                <w:rFonts w:ascii="Times New Roman" w:cs="Times New Roman"/>
                <w:color w:val="auto"/>
                <w:szCs w:val="21"/>
              </w:rPr>
              <w:t>生物质锅炉清洁燃烧先进水平</w:t>
            </w:r>
          </w:p>
        </w:tc>
        <w:tc>
          <w:tcPr>
            <w:tcW w:w="5779" w:type="dxa"/>
            <w:tcBorders>
              <w:top w:val="single" w:sz="8" w:space="0" w:color="auto"/>
            </w:tcBorders>
            <w:vAlign w:val="center"/>
          </w:tcPr>
          <w:p w14:paraId="18F2D28B"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m:oMath>
              <m:sSub>
                <m:sSubPr>
                  <m:ctrlPr>
                    <w:rPr>
                      <w:rFonts w:ascii="Cambria Math" w:hAnsi="Cambria Math" w:cs="Times New Roman"/>
                      <w:i/>
                      <w:color w:val="auto"/>
                      <w:szCs w:val="21"/>
                    </w:rPr>
                  </m:ctrlPr>
                </m:sSubPr>
                <m:e>
                  <m:r>
                    <w:rPr>
                      <w:rFonts w:ascii="Cambria Math" w:hAnsi="Cambria Math" w:cs="Times New Roman"/>
                      <w:color w:val="auto"/>
                      <w:szCs w:val="21"/>
                    </w:rPr>
                    <m:t>Y</m:t>
                  </m:r>
                </m:e>
                <m:sub>
                  <m:r>
                    <m:rPr>
                      <m:sty m:val="p"/>
                    </m:rPr>
                    <w:rPr>
                      <w:rFonts w:hAnsi="宋体" w:hint="eastAsia"/>
                      <w:color w:val="auto"/>
                      <w:szCs w:val="21"/>
                    </w:rPr>
                    <m:t>Ⅰ</m:t>
                  </m:r>
                </m:sub>
              </m:sSub>
            </m:oMath>
            <w:r>
              <w:rPr>
                <w:rFonts w:ascii="Times New Roman" w:cs="Times New Roman"/>
                <w:color w:val="auto"/>
                <w:szCs w:val="21"/>
              </w:rPr>
              <w:t>≥85</w:t>
            </w:r>
          </w:p>
        </w:tc>
      </w:tr>
      <w:tr w:rsidR="00445F8C" w14:paraId="26DEEDC3" w14:textId="77777777" w:rsidTr="00084192">
        <w:trPr>
          <w:trHeight w:val="283"/>
          <w:jc w:val="center"/>
        </w:trPr>
        <w:tc>
          <w:tcPr>
            <w:tcW w:w="3445" w:type="dxa"/>
            <w:vAlign w:val="center"/>
          </w:tcPr>
          <w:p w14:paraId="7B0104C8"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w:r>
              <w:rPr>
                <w:rFonts w:ascii="Times New Roman" w:cs="Times New Roman"/>
                <w:color w:val="auto"/>
                <w:szCs w:val="21"/>
              </w:rPr>
              <w:t>二级</w:t>
            </w:r>
            <w:r>
              <w:rPr>
                <w:rFonts w:ascii="Times New Roman" w:cs="Times New Roman"/>
                <w:color w:val="auto"/>
                <w:szCs w:val="21"/>
              </w:rPr>
              <w:t xml:space="preserve">  </w:t>
            </w:r>
            <w:r>
              <w:rPr>
                <w:rFonts w:ascii="Times New Roman" w:cs="Times New Roman"/>
                <w:color w:val="auto"/>
                <w:szCs w:val="21"/>
              </w:rPr>
              <w:t>生物质锅炉清洁燃烧准入水平</w:t>
            </w:r>
          </w:p>
        </w:tc>
        <w:tc>
          <w:tcPr>
            <w:tcW w:w="5779" w:type="dxa"/>
            <w:vAlign w:val="center"/>
          </w:tcPr>
          <w:p w14:paraId="712155A1"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m:oMath>
              <m:sSub>
                <m:sSubPr>
                  <m:ctrlPr>
                    <w:rPr>
                      <w:rFonts w:ascii="Cambria Math" w:hAnsi="Cambria Math" w:cs="Times New Roman"/>
                      <w:i/>
                      <w:color w:val="auto"/>
                      <w:szCs w:val="21"/>
                    </w:rPr>
                  </m:ctrlPr>
                </m:sSubPr>
                <m:e>
                  <m:r>
                    <w:rPr>
                      <w:rFonts w:ascii="Cambria Math" w:hAnsi="Cambria Math" w:cs="Times New Roman"/>
                      <w:color w:val="auto"/>
                      <w:szCs w:val="21"/>
                    </w:rPr>
                    <m:t>Y</m:t>
                  </m:r>
                </m:e>
                <m:sub>
                  <m:r>
                    <m:rPr>
                      <m:sty m:val="p"/>
                    </m:rPr>
                    <w:rPr>
                      <w:rFonts w:hAnsi="宋体" w:hint="eastAsia"/>
                      <w:color w:val="auto"/>
                      <w:kern w:val="2"/>
                      <w:szCs w:val="21"/>
                    </w:rPr>
                    <m:t>Ⅱ</m:t>
                  </m:r>
                </m:sub>
              </m:sSub>
            </m:oMath>
            <w:r>
              <w:rPr>
                <w:rFonts w:ascii="Times New Roman" w:cs="Times New Roman"/>
                <w:color w:val="auto"/>
                <w:szCs w:val="21"/>
              </w:rPr>
              <w:t>≥85</w:t>
            </w:r>
          </w:p>
        </w:tc>
      </w:tr>
      <w:tr w:rsidR="00445F8C" w14:paraId="03B8A004" w14:textId="77777777" w:rsidTr="00084192">
        <w:trPr>
          <w:trHeight w:val="283"/>
          <w:jc w:val="center"/>
        </w:trPr>
        <w:tc>
          <w:tcPr>
            <w:tcW w:w="3445" w:type="dxa"/>
            <w:vAlign w:val="center"/>
          </w:tcPr>
          <w:p w14:paraId="51541773"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w:r>
              <w:rPr>
                <w:rFonts w:ascii="Times New Roman" w:cs="Times New Roman"/>
                <w:color w:val="auto"/>
                <w:szCs w:val="21"/>
              </w:rPr>
              <w:t>三级</w:t>
            </w:r>
            <w:r>
              <w:rPr>
                <w:rFonts w:ascii="Times New Roman" w:cs="Times New Roman"/>
                <w:color w:val="auto"/>
                <w:szCs w:val="21"/>
              </w:rPr>
              <w:t xml:space="preserve">  </w:t>
            </w:r>
            <w:r>
              <w:rPr>
                <w:rFonts w:ascii="Times New Roman" w:cs="Times New Roman"/>
                <w:color w:val="auto"/>
                <w:szCs w:val="21"/>
              </w:rPr>
              <w:t>生物质锅炉清洁燃烧一般水平</w:t>
            </w:r>
          </w:p>
        </w:tc>
        <w:tc>
          <w:tcPr>
            <w:tcW w:w="5779" w:type="dxa"/>
            <w:vAlign w:val="center"/>
          </w:tcPr>
          <w:p w14:paraId="221466CE" w14:textId="77777777" w:rsidR="00445F8C" w:rsidRDefault="00084192">
            <w:pPr>
              <w:pStyle w:val="affb"/>
              <w:spacing w:beforeLines="50" w:before="156" w:afterLines="50" w:after="156" w:line="240" w:lineRule="auto"/>
              <w:ind w:firstLineChars="0" w:firstLine="0"/>
              <w:jc w:val="center"/>
              <w:rPr>
                <w:rFonts w:cs="Times New Roman"/>
                <w:snapToGrid/>
                <w:color w:val="auto"/>
                <w:szCs w:val="21"/>
              </w:rPr>
            </w:pPr>
            <m:oMath>
              <m:sSub>
                <m:sSubPr>
                  <m:ctrlPr>
                    <w:rPr>
                      <w:rFonts w:ascii="Cambria Math" w:hAnsi="Cambria Math" w:cs="Times New Roman"/>
                      <w:i/>
                      <w:color w:val="auto"/>
                      <w:szCs w:val="21"/>
                    </w:rPr>
                  </m:ctrlPr>
                </m:sSubPr>
                <m:e>
                  <m:r>
                    <w:rPr>
                      <w:rFonts w:ascii="Cambria Math" w:hAnsi="Cambria Math" w:cs="Times New Roman"/>
                      <w:color w:val="auto"/>
                      <w:szCs w:val="21"/>
                    </w:rPr>
                    <m:t>Y</m:t>
                  </m:r>
                </m:e>
                <m:sub>
                  <m:r>
                    <m:rPr>
                      <m:sty m:val="p"/>
                    </m:rPr>
                    <w:rPr>
                      <w:rFonts w:hAnsi="宋体" w:hint="eastAsia"/>
                      <w:color w:val="auto"/>
                      <w:kern w:val="2"/>
                      <w:szCs w:val="21"/>
                    </w:rPr>
                    <m:t>Ⅲ</m:t>
                  </m:r>
                </m:sub>
              </m:sSub>
            </m:oMath>
            <w:r>
              <w:rPr>
                <w:rFonts w:ascii="Times New Roman" w:cs="Times New Roman"/>
                <w:color w:val="auto"/>
                <w:szCs w:val="21"/>
                <w:vertAlign w:val="subscript"/>
              </w:rPr>
              <w:t xml:space="preserve"> </w:t>
            </w:r>
            <w:r>
              <w:rPr>
                <w:rFonts w:ascii="Times New Roman" w:cs="Times New Roman"/>
                <w:color w:val="auto"/>
                <w:szCs w:val="21"/>
              </w:rPr>
              <w:t>=100</w:t>
            </w:r>
          </w:p>
        </w:tc>
      </w:tr>
    </w:tbl>
    <w:p w14:paraId="2A706FFE" w14:textId="77777777" w:rsidR="00445F8C" w:rsidRDefault="00084192">
      <w:pPr>
        <w:autoSpaceDE w:val="0"/>
        <w:autoSpaceDN w:val="0"/>
        <w:adjustRightInd w:val="0"/>
        <w:spacing w:line="560" w:lineRule="exact"/>
        <w:ind w:firstLine="640"/>
        <w:jc w:val="left"/>
        <w:rPr>
          <w:rFonts w:eastAsia="黑体"/>
          <w:szCs w:val="32"/>
        </w:rPr>
      </w:pPr>
      <w:r>
        <w:rPr>
          <w:rFonts w:eastAsia="黑体"/>
          <w:szCs w:val="32"/>
        </w:rPr>
        <w:t>六、</w:t>
      </w:r>
      <w:bookmarkEnd w:id="4"/>
      <w:r>
        <w:rPr>
          <w:rFonts w:eastAsia="黑体"/>
          <w:szCs w:val="32"/>
        </w:rPr>
        <w:t>重大分歧意见的处理经过和依据</w:t>
      </w:r>
    </w:p>
    <w:p w14:paraId="36853373" w14:textId="77777777" w:rsidR="00445F8C" w:rsidRDefault="00084192">
      <w:pPr>
        <w:spacing w:line="560" w:lineRule="exact"/>
        <w:ind w:firstLine="640"/>
        <w:rPr>
          <w:szCs w:val="28"/>
        </w:rPr>
      </w:pPr>
      <w:r>
        <w:rPr>
          <w:szCs w:val="28"/>
        </w:rPr>
        <w:t>本标准研制过程中无重大分歧意见。</w:t>
      </w:r>
    </w:p>
    <w:p w14:paraId="2F1383E4" w14:textId="77777777" w:rsidR="00445F8C" w:rsidRDefault="00084192" w:rsidP="00084192">
      <w:pPr>
        <w:autoSpaceDE w:val="0"/>
        <w:autoSpaceDN w:val="0"/>
        <w:adjustRightInd w:val="0"/>
        <w:spacing w:line="540" w:lineRule="exact"/>
        <w:ind w:firstLine="640"/>
        <w:jc w:val="left"/>
        <w:rPr>
          <w:rFonts w:eastAsia="黑体"/>
          <w:szCs w:val="32"/>
        </w:rPr>
      </w:pPr>
      <w:r>
        <w:rPr>
          <w:rFonts w:eastAsia="黑体"/>
          <w:szCs w:val="32"/>
        </w:rPr>
        <w:t>七、实施标准的措施</w:t>
      </w:r>
    </w:p>
    <w:p w14:paraId="1AB795C0" w14:textId="77777777" w:rsidR="00445F8C" w:rsidRDefault="00084192" w:rsidP="00084192">
      <w:pPr>
        <w:spacing w:line="540" w:lineRule="exact"/>
        <w:ind w:firstLine="643"/>
        <w:rPr>
          <w:b/>
          <w:szCs w:val="28"/>
        </w:rPr>
      </w:pPr>
      <w:r>
        <w:rPr>
          <w:b/>
          <w:szCs w:val="28"/>
        </w:rPr>
        <w:t>（一）标准报批发布后，成立标准宣贯工作组</w:t>
      </w:r>
    </w:p>
    <w:p w14:paraId="0FF8AB03" w14:textId="77777777" w:rsidR="00445F8C" w:rsidRDefault="00084192" w:rsidP="00084192">
      <w:pPr>
        <w:spacing w:line="540" w:lineRule="exact"/>
        <w:ind w:firstLine="640"/>
        <w:rPr>
          <w:szCs w:val="28"/>
        </w:rPr>
      </w:pPr>
      <w:r>
        <w:rPr>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1C557C6" w14:textId="77777777" w:rsidR="00445F8C" w:rsidRDefault="00084192" w:rsidP="00084192">
      <w:pPr>
        <w:spacing w:line="540" w:lineRule="exact"/>
        <w:ind w:firstLine="643"/>
        <w:rPr>
          <w:b/>
          <w:szCs w:val="28"/>
        </w:rPr>
      </w:pPr>
      <w:r>
        <w:rPr>
          <w:b/>
          <w:szCs w:val="28"/>
        </w:rPr>
        <w:t>（二）组织开展标准宣贯培训</w:t>
      </w:r>
    </w:p>
    <w:p w14:paraId="1AC51DED" w14:textId="77777777" w:rsidR="00445F8C" w:rsidRDefault="00084192" w:rsidP="00084192">
      <w:pPr>
        <w:spacing w:line="540" w:lineRule="exact"/>
        <w:ind w:firstLine="640"/>
        <w:rPr>
          <w:szCs w:val="28"/>
        </w:rPr>
      </w:pPr>
      <w:r>
        <w:rPr>
          <w:szCs w:val="28"/>
        </w:rPr>
        <w:t>标准发布实施后，标准宣贯工作小组制作标准解读宣贯培训</w:t>
      </w:r>
      <w:r>
        <w:rPr>
          <w:szCs w:val="28"/>
        </w:rPr>
        <w:lastRenderedPageBreak/>
        <w:t>PPT</w:t>
      </w:r>
      <w:r>
        <w:rPr>
          <w:szCs w:val="28"/>
        </w:rPr>
        <w:t>课件和标准核心技术明白书，并按标准宣贯培训计划深入各市县相关机构、单位开展标准宣贯培训，对标准进行逐条解读，让技术人员掌握标准核心内容，助力标准实施落地。</w:t>
      </w:r>
    </w:p>
    <w:p w14:paraId="1719BC28" w14:textId="77777777" w:rsidR="00445F8C" w:rsidRDefault="00084192" w:rsidP="00084192">
      <w:pPr>
        <w:spacing w:line="540" w:lineRule="exact"/>
        <w:ind w:firstLine="643"/>
        <w:rPr>
          <w:b/>
          <w:szCs w:val="28"/>
        </w:rPr>
      </w:pPr>
      <w:r>
        <w:rPr>
          <w:b/>
          <w:szCs w:val="28"/>
        </w:rPr>
        <w:t>（三）开展标准实施交流会，收集标准实施反馈信息</w:t>
      </w:r>
    </w:p>
    <w:p w14:paraId="515400B4" w14:textId="77777777" w:rsidR="00445F8C" w:rsidRDefault="00084192" w:rsidP="00084192">
      <w:pPr>
        <w:spacing w:line="540" w:lineRule="exact"/>
        <w:ind w:firstLine="640"/>
        <w:rPr>
          <w:szCs w:val="28"/>
        </w:rPr>
      </w:pPr>
      <w:r>
        <w:rPr>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szCs w:val="28"/>
        </w:rPr>
        <w:t>修订做</w:t>
      </w:r>
      <w:proofErr w:type="gramEnd"/>
      <w:r>
        <w:rPr>
          <w:szCs w:val="28"/>
        </w:rPr>
        <w:t>准备。</w:t>
      </w:r>
    </w:p>
    <w:p w14:paraId="1EABDFBF" w14:textId="77777777" w:rsidR="00445F8C" w:rsidRDefault="00084192" w:rsidP="00084192">
      <w:pPr>
        <w:spacing w:line="540" w:lineRule="exact"/>
        <w:ind w:firstLine="643"/>
        <w:rPr>
          <w:b/>
          <w:szCs w:val="28"/>
        </w:rPr>
      </w:pPr>
      <w:r>
        <w:rPr>
          <w:b/>
          <w:szCs w:val="28"/>
        </w:rPr>
        <w:t>（四）开展标准实施效果评估</w:t>
      </w:r>
    </w:p>
    <w:p w14:paraId="42B35A82" w14:textId="77777777" w:rsidR="00445F8C" w:rsidRDefault="00084192" w:rsidP="00084192">
      <w:pPr>
        <w:spacing w:line="540" w:lineRule="exact"/>
        <w:ind w:firstLine="640"/>
        <w:rPr>
          <w:szCs w:val="28"/>
        </w:rPr>
      </w:pPr>
      <w:r>
        <w:rPr>
          <w:szCs w:val="28"/>
        </w:rPr>
        <w:t>标准实施满</w:t>
      </w:r>
      <w:r>
        <w:rPr>
          <w:szCs w:val="28"/>
        </w:rPr>
        <w:t>2</w:t>
      </w:r>
      <w:r>
        <w:rPr>
          <w:szCs w:val="28"/>
        </w:rPr>
        <w:t>年，每年标准宣贯工作组采取网络调查、问卷调查、实地调研、召开座谈会或论证会、专家咨询等方式开展标准实施效果评估，并形成标准实施效果评估报告，为标准的复审</w:t>
      </w:r>
      <w:proofErr w:type="gramStart"/>
      <w:r>
        <w:rPr>
          <w:szCs w:val="28"/>
        </w:rPr>
        <w:t>修订做</w:t>
      </w:r>
      <w:proofErr w:type="gramEnd"/>
      <w:r>
        <w:rPr>
          <w:szCs w:val="28"/>
        </w:rPr>
        <w:t>准备。</w:t>
      </w:r>
    </w:p>
    <w:p w14:paraId="75A408F0" w14:textId="77777777" w:rsidR="00445F8C" w:rsidRDefault="00084192" w:rsidP="00084192">
      <w:pPr>
        <w:autoSpaceDE w:val="0"/>
        <w:autoSpaceDN w:val="0"/>
        <w:adjustRightInd w:val="0"/>
        <w:spacing w:line="540" w:lineRule="exact"/>
        <w:ind w:firstLine="640"/>
        <w:jc w:val="left"/>
        <w:rPr>
          <w:rFonts w:eastAsia="黑体"/>
          <w:szCs w:val="32"/>
        </w:rPr>
      </w:pPr>
      <w:r>
        <w:rPr>
          <w:rFonts w:eastAsia="黑体"/>
          <w:szCs w:val="32"/>
        </w:rPr>
        <w:t>八、其他应当说明的事项</w:t>
      </w:r>
    </w:p>
    <w:p w14:paraId="30F7C59E" w14:textId="77777777" w:rsidR="00445F8C" w:rsidRDefault="00084192" w:rsidP="00084192">
      <w:pPr>
        <w:spacing w:line="540" w:lineRule="exact"/>
        <w:ind w:firstLine="640"/>
        <w:rPr>
          <w:szCs w:val="28"/>
        </w:rPr>
      </w:pPr>
      <w:r>
        <w:rPr>
          <w:szCs w:val="28"/>
        </w:rPr>
        <w:t>无。</w:t>
      </w:r>
    </w:p>
    <w:p w14:paraId="2C64FD91" w14:textId="77777777" w:rsidR="00445F8C" w:rsidRDefault="00445F8C">
      <w:pPr>
        <w:spacing w:line="560" w:lineRule="exact"/>
        <w:ind w:firstLineChars="0" w:firstLine="0"/>
        <w:rPr>
          <w:bCs/>
          <w:sz w:val="36"/>
          <w:szCs w:val="32"/>
        </w:rPr>
      </w:pPr>
    </w:p>
    <w:p w14:paraId="39605BDF" w14:textId="77777777" w:rsidR="00445F8C" w:rsidRDefault="00084192">
      <w:pPr>
        <w:spacing w:line="560" w:lineRule="exact"/>
        <w:ind w:firstLine="640"/>
        <w:jc w:val="right"/>
        <w:rPr>
          <w:szCs w:val="28"/>
        </w:rPr>
      </w:pPr>
      <w:r>
        <w:rPr>
          <w:szCs w:val="28"/>
        </w:rPr>
        <w:t xml:space="preserve"> </w:t>
      </w:r>
      <w:r>
        <w:rPr>
          <w:szCs w:val="28"/>
        </w:rPr>
        <w:t>团体标准《生物质锅炉清洁燃烧评价指标体系》</w:t>
      </w:r>
    </w:p>
    <w:p w14:paraId="40B15CB1" w14:textId="77777777" w:rsidR="00445F8C" w:rsidRDefault="00084192">
      <w:pPr>
        <w:spacing w:line="560" w:lineRule="exact"/>
        <w:ind w:firstLine="640"/>
        <w:jc w:val="right"/>
        <w:rPr>
          <w:szCs w:val="28"/>
        </w:rPr>
      </w:pPr>
      <w:r>
        <w:rPr>
          <w:szCs w:val="28"/>
        </w:rPr>
        <w:t>标准编制工作组</w:t>
      </w:r>
    </w:p>
    <w:p w14:paraId="6F3DD49B" w14:textId="77777777" w:rsidR="00445F8C" w:rsidRDefault="00084192">
      <w:pPr>
        <w:spacing w:line="560" w:lineRule="exact"/>
        <w:ind w:firstLine="640"/>
        <w:jc w:val="right"/>
        <w:rPr>
          <w:szCs w:val="28"/>
        </w:rPr>
      </w:pPr>
      <w:r>
        <w:rPr>
          <w:szCs w:val="28"/>
        </w:rPr>
        <w:t>2026</w:t>
      </w:r>
      <w:r>
        <w:rPr>
          <w:szCs w:val="28"/>
        </w:rPr>
        <w:t>年</w:t>
      </w:r>
      <w:r>
        <w:rPr>
          <w:szCs w:val="28"/>
        </w:rPr>
        <w:t>1</w:t>
      </w:r>
      <w:r>
        <w:rPr>
          <w:szCs w:val="28"/>
        </w:rPr>
        <w:t>月</w:t>
      </w:r>
      <w:r>
        <w:rPr>
          <w:szCs w:val="28"/>
        </w:rPr>
        <w:t>13</w:t>
      </w:r>
      <w:r>
        <w:rPr>
          <w:szCs w:val="28"/>
        </w:rPr>
        <w:t>日</w:t>
      </w:r>
    </w:p>
    <w:sectPr w:rsidR="00445F8C">
      <w:headerReference w:type="even" r:id="rId20"/>
      <w:headerReference w:type="default" r:id="rId21"/>
      <w:footerReference w:type="even" r:id="rId22"/>
      <w:footerReference w:type="default" r:id="rId23"/>
      <w:headerReference w:type="first" r:id="rId24"/>
      <w:footerReference w:type="first" r:id="rId25"/>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1EC6AF" w14:textId="77777777" w:rsidR="001265CE" w:rsidRDefault="001265CE">
      <w:pPr>
        <w:ind w:firstLine="640"/>
      </w:pPr>
      <w:r>
        <w:separator/>
      </w:r>
    </w:p>
  </w:endnote>
  <w:endnote w:type="continuationSeparator" w:id="0">
    <w:p w14:paraId="7BE192EB" w14:textId="77777777" w:rsidR="001265CE" w:rsidRDefault="001265CE">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embedRegular r:id="rId1" w:subsetted="1" w:fontKey="{D5D52B3B-9AD9-4BA4-8F8F-2C03C580118B}"/>
  </w:font>
  <w:font w:name="Times New Roman">
    <w:panose1 w:val="02020603050405020304"/>
    <w:charset w:val="00"/>
    <w:family w:val="roman"/>
    <w:pitch w:val="variable"/>
    <w:sig w:usb0="E0002AFF" w:usb1="C0007841" w:usb2="00000009" w:usb3="00000000" w:csb0="000001FF" w:csb1="00000000"/>
    <w:embedRegular r:id="rId2" w:fontKey="{A32DB7BE-257A-4BCA-9827-2A5E93F21E8E}"/>
    <w:embedBold r:id="rId3" w:fontKey="{12E41E69-244B-4428-A4ED-D747B7BF05F5}"/>
    <w:embedItalic r:id="rId4" w:fontKey="{C0C8ED1E-A1F7-4880-8B6B-D801FDABE363}"/>
  </w:font>
  <w:font w:name="宋体">
    <w:altName w:val="SimSun"/>
    <w:panose1 w:val="02010600030101010101"/>
    <w:charset w:val="86"/>
    <w:family w:val="auto"/>
    <w:pitch w:val="variable"/>
    <w:sig w:usb0="00000003" w:usb1="288F0000" w:usb2="00000016" w:usb3="00000000" w:csb0="00040001" w:csb1="00000000"/>
    <w:embedRegular r:id="rId5" w:subsetted="1" w:fontKey="{98198DD0-6162-4F84-B6BD-5FAAD193ED0E}"/>
  </w:font>
  <w:font w:name="Symbol">
    <w:panose1 w:val="05050102010706020507"/>
    <w:charset w:val="02"/>
    <w:family w:val="roman"/>
    <w:pitch w:val="variable"/>
    <w:sig w:usb0="00000000" w:usb1="10000000" w:usb2="00000000" w:usb3="00000000" w:csb0="80000000" w:csb1="00000000"/>
    <w:embedRegular r:id="rId6" w:fontKey="{CA7E6534-54E9-4694-8DC9-74448B8CE4BF}"/>
  </w:font>
  <w:font w:name="Wingdings">
    <w:panose1 w:val="05000000000000000000"/>
    <w:charset w:val="02"/>
    <w:family w:val="auto"/>
    <w:pitch w:val="variable"/>
    <w:sig w:usb0="00000000" w:usb1="10000000" w:usb2="00000000" w:usb3="00000000" w:csb0="80000000" w:csb1="00000000"/>
    <w:embedRegular r:id="rId7" w:fontKey="{A2C42F80-BB13-4A45-9248-B98FA56E0BE2}"/>
  </w:font>
  <w:font w:name="仿宋_GB2312">
    <w:panose1 w:val="02010609030101010101"/>
    <w:charset w:val="86"/>
    <w:family w:val="modern"/>
    <w:pitch w:val="fixed"/>
    <w:sig w:usb0="00000001" w:usb1="080E0000" w:usb2="00000010" w:usb3="00000000" w:csb0="00040000" w:csb1="00000000"/>
    <w:embedRegular r:id="rId8" w:subsetted="1" w:fontKey="{ED63A677-F164-4BE5-B9F4-9F37613C8C5B}"/>
    <w:embedBold r:id="rId9" w:subsetted="1" w:fontKey="{0D375ED5-9148-455F-A239-53280A98D037}"/>
  </w:font>
  <w:font w:name="Cambria">
    <w:panose1 w:val="02040503050406030204"/>
    <w:charset w:val="00"/>
    <w:family w:val="roman"/>
    <w:pitch w:val="variable"/>
    <w:sig w:usb0="E00002FF" w:usb1="400004FF" w:usb2="00000000" w:usb3="00000000" w:csb0="0000019F" w:csb1="00000000"/>
    <w:embedRegular r:id="rId10" w:fontKey="{35729444-DD6A-41B8-99BE-5465CC110B73}"/>
    <w:embedBold r:id="rId11" w:fontKey="{2B09D26C-0C19-4A7F-BE75-24CBCDD80BDA}"/>
  </w:font>
  <w:font w:name="Arial">
    <w:panose1 w:val="020B0604020202020204"/>
    <w:charset w:val="00"/>
    <w:family w:val="swiss"/>
    <w:pitch w:val="variable"/>
    <w:sig w:usb0="E0002AFF" w:usb1="C0007843" w:usb2="00000009" w:usb3="00000000" w:csb0="000001FF" w:csb1="00000000"/>
    <w:embedRegular r:id="rId12" w:fontKey="{67A77342-9E06-41D3-B254-D8B3903A4C0B}"/>
    <w:embedBold r:id="rId13" w:fontKey="{D1410421-4164-4200-A1B1-06BE8DC81C0D}"/>
  </w:font>
  <w:font w:name="Calibri">
    <w:panose1 w:val="020F0502020204030204"/>
    <w:charset w:val="00"/>
    <w:family w:val="swiss"/>
    <w:pitch w:val="variable"/>
    <w:sig w:usb0="E10002FF" w:usb1="4000ACFF" w:usb2="00000009" w:usb3="00000000" w:csb0="0000019F" w:csb1="00000000"/>
    <w:embedRegular r:id="rId14" w:fontKey="{784973B3-EA29-4AAB-83F3-B7E8B96DE1D9}"/>
  </w:font>
  <w:font w:name="方正小标宋简体">
    <w:panose1 w:val="03000509000000000000"/>
    <w:charset w:val="86"/>
    <w:family w:val="script"/>
    <w:pitch w:val="fixed"/>
    <w:sig w:usb0="00000001" w:usb1="080E0000" w:usb2="00000010" w:usb3="00000000" w:csb0="00040000" w:csb1="00000000"/>
    <w:embedRegular r:id="rId15" w:subsetted="1" w:fontKey="{9420BFEC-C12D-49BE-9EB1-DEC47E5F4227}"/>
  </w:font>
  <w:font w:name="仿宋">
    <w:panose1 w:val="02010609060101010101"/>
    <w:charset w:val="86"/>
    <w:family w:val="modern"/>
    <w:pitch w:val="fixed"/>
    <w:sig w:usb0="800002BF" w:usb1="38CF7CFA" w:usb2="00000016" w:usb3="00000000" w:csb0="00040001" w:csb1="00000000"/>
    <w:embedBold r:id="rId16" w:subsetted="1" w:fontKey="{56C079E4-0D35-4089-9377-39F658E769F7}"/>
  </w:font>
  <w:font w:name="楷体">
    <w:panose1 w:val="02010609060101010101"/>
    <w:charset w:val="86"/>
    <w:family w:val="modern"/>
    <w:pitch w:val="fixed"/>
    <w:sig w:usb0="800002BF" w:usb1="38CF7CFA" w:usb2="00000016" w:usb3="00000000" w:csb0="00040001" w:csb1="00000000"/>
    <w:embedBold r:id="rId17" w:subsetted="1" w:fontKey="{5B1F0754-464C-46ED-BA98-6D84E341DE32}"/>
  </w:font>
  <w:font w:name="Cambria Math">
    <w:panose1 w:val="02040503050406030204"/>
    <w:charset w:val="00"/>
    <w:family w:val="roman"/>
    <w:pitch w:val="variable"/>
    <w:sig w:usb0="E00002FF" w:usb1="420024FF" w:usb2="00000000" w:usb3="00000000" w:csb0="0000019F" w:csb1="00000000"/>
    <w:embedRegular r:id="rId18" w:fontKey="{7A665B36-61DF-461E-B3B8-529C78B0FFC9}"/>
    <w:embedItalic r:id="rId19" w:fontKey="{D6F43E54-7320-4F8F-952C-6B7965A5D5AB}"/>
  </w:font>
  <w:font w:name="等线">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65AA3" w14:textId="77777777" w:rsidR="00084192" w:rsidRDefault="00084192">
    <w:pPr>
      <w:pStyle w:val="afa"/>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Content>
      <w:p w14:paraId="663CAA6B" w14:textId="77777777" w:rsidR="00084192" w:rsidRDefault="00084192">
        <w:pPr>
          <w:pStyle w:val="afa"/>
          <w:ind w:firstLine="360"/>
          <w:jc w:val="center"/>
        </w:pPr>
        <w:r>
          <w:fldChar w:fldCharType="begin"/>
        </w:r>
        <w:r>
          <w:instrText>PAGE   \* MERGEFORMAT</w:instrText>
        </w:r>
        <w:r>
          <w:fldChar w:fldCharType="separate"/>
        </w:r>
        <w:r w:rsidR="009F4EFE" w:rsidRPr="009F4EFE">
          <w:rPr>
            <w:noProof/>
            <w:lang w:val="zh-CN"/>
          </w:rPr>
          <w:t>59</w:t>
        </w:r>
        <w:r>
          <w:fldChar w:fldCharType="end"/>
        </w:r>
      </w:p>
    </w:sdtContent>
  </w:sdt>
  <w:p w14:paraId="4062AED3" w14:textId="77777777" w:rsidR="00084192" w:rsidRDefault="00084192">
    <w:pPr>
      <w:pStyle w:val="afa"/>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39419" w14:textId="77777777" w:rsidR="00084192" w:rsidRDefault="00084192">
    <w:pPr>
      <w:pStyle w:val="afa"/>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7D8581" w14:textId="77777777" w:rsidR="001265CE" w:rsidRDefault="001265CE">
      <w:pPr>
        <w:ind w:firstLine="640"/>
      </w:pPr>
      <w:r>
        <w:separator/>
      </w:r>
    </w:p>
  </w:footnote>
  <w:footnote w:type="continuationSeparator" w:id="0">
    <w:p w14:paraId="591D260B" w14:textId="77777777" w:rsidR="001265CE" w:rsidRDefault="001265CE">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589B92" w14:textId="77777777" w:rsidR="00084192" w:rsidRDefault="00084192">
    <w:pPr>
      <w:pStyle w:val="afb"/>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48D8F6" w14:textId="77777777" w:rsidR="00084192" w:rsidRDefault="00084192">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CE1503" w14:textId="77777777" w:rsidR="00084192" w:rsidRDefault="00084192">
    <w:pPr>
      <w:pStyle w:val="afb"/>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00000002"/>
    <w:multiLevelType w:val="multilevel"/>
    <w:tmpl w:val="00000002"/>
    <w:lvl w:ilvl="0">
      <w:start w:val="1"/>
      <w:numFmt w:val="chineseCountingThousand"/>
      <w:pStyle w:val="msonormal0"/>
      <w:lvlText w:val="第%1条"/>
      <w:lvlJc w:val="left"/>
      <w:pPr>
        <w:tabs>
          <w:tab w:val="left" w:pos="1140"/>
        </w:tabs>
        <w:ind w:left="1140" w:hanging="420"/>
      </w:pPr>
      <w:rPr>
        <w:b/>
        <w:lang w:val="en-US"/>
      </w:rPr>
    </w:lvl>
    <w:lvl w:ilvl="1">
      <w:start w:val="1"/>
      <w:numFmt w:val="lowerLetter"/>
      <w:lvlText w:val="%2)"/>
      <w:lvlJc w:val="left"/>
      <w:pPr>
        <w:tabs>
          <w:tab w:val="left" w:pos="999"/>
        </w:tabs>
        <w:ind w:left="999" w:hanging="420"/>
      </w:pPr>
    </w:lvl>
    <w:lvl w:ilvl="2">
      <w:start w:val="1"/>
      <w:numFmt w:val="lowerRoman"/>
      <w:lvlText w:val="%3."/>
      <w:lvlJc w:val="right"/>
      <w:pPr>
        <w:tabs>
          <w:tab w:val="left" w:pos="1419"/>
        </w:tabs>
        <w:ind w:left="1419" w:hanging="420"/>
      </w:pPr>
    </w:lvl>
    <w:lvl w:ilvl="3">
      <w:start w:val="1"/>
      <w:numFmt w:val="decimal"/>
      <w:lvlText w:val="%4."/>
      <w:lvlJc w:val="left"/>
      <w:pPr>
        <w:tabs>
          <w:tab w:val="left" w:pos="1839"/>
        </w:tabs>
        <w:ind w:left="1839" w:hanging="420"/>
      </w:pPr>
    </w:lvl>
    <w:lvl w:ilvl="4">
      <w:start w:val="1"/>
      <w:numFmt w:val="lowerLetter"/>
      <w:lvlText w:val="%5)"/>
      <w:lvlJc w:val="left"/>
      <w:pPr>
        <w:tabs>
          <w:tab w:val="left" w:pos="2259"/>
        </w:tabs>
        <w:ind w:left="2259" w:hanging="420"/>
      </w:pPr>
    </w:lvl>
    <w:lvl w:ilvl="5">
      <w:start w:val="1"/>
      <w:numFmt w:val="lowerRoman"/>
      <w:lvlText w:val="%6."/>
      <w:lvlJc w:val="right"/>
      <w:pPr>
        <w:tabs>
          <w:tab w:val="left" w:pos="2679"/>
        </w:tabs>
        <w:ind w:left="2679" w:hanging="420"/>
      </w:pPr>
    </w:lvl>
    <w:lvl w:ilvl="6">
      <w:start w:val="1"/>
      <w:numFmt w:val="decimal"/>
      <w:lvlText w:val="%7."/>
      <w:lvlJc w:val="left"/>
      <w:pPr>
        <w:tabs>
          <w:tab w:val="left" w:pos="3099"/>
        </w:tabs>
        <w:ind w:left="3099" w:hanging="420"/>
      </w:pPr>
    </w:lvl>
    <w:lvl w:ilvl="7">
      <w:start w:val="1"/>
      <w:numFmt w:val="lowerLetter"/>
      <w:lvlText w:val="%8)"/>
      <w:lvlJc w:val="left"/>
      <w:pPr>
        <w:tabs>
          <w:tab w:val="left" w:pos="3519"/>
        </w:tabs>
        <w:ind w:left="3519" w:hanging="420"/>
      </w:pPr>
    </w:lvl>
    <w:lvl w:ilvl="8">
      <w:start w:val="1"/>
      <w:numFmt w:val="lowerRoman"/>
      <w:lvlText w:val="%9."/>
      <w:lvlJc w:val="right"/>
      <w:pPr>
        <w:tabs>
          <w:tab w:val="left" w:pos="3939"/>
        </w:tabs>
        <w:ind w:left="3939" w:hanging="420"/>
      </w:pPr>
    </w:lvl>
  </w:abstractNum>
  <w:abstractNum w:abstractNumId="5">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6">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7">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8">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9">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nsid w:val="2603752E"/>
    <w:multiLevelType w:val="multilevel"/>
    <w:tmpl w:val="2603752E"/>
    <w:lvl w:ilvl="0">
      <w:start w:val="1"/>
      <w:numFmt w:val="japaneseCounting"/>
      <w:lvlText w:val="（%1）"/>
      <w:lvlJc w:val="left"/>
      <w:pPr>
        <w:ind w:left="4341"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11">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2">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3">
    <w:nsid w:val="48802D1C"/>
    <w:multiLevelType w:val="multilevel"/>
    <w:tmpl w:val="48802D1C"/>
    <w:lvl w:ilvl="0">
      <w:start w:val="1"/>
      <w:numFmt w:val="upperLetter"/>
      <w:pStyle w:val="ac"/>
      <w:lvlText w:val="%1"/>
      <w:lvlJc w:val="left"/>
      <w:pPr>
        <w:ind w:left="420" w:hanging="420"/>
      </w:pPr>
      <w:rPr>
        <w:rFonts w:hint="eastAsia"/>
      </w:rPr>
    </w:lvl>
    <w:lvl w:ilvl="1">
      <w:start w:val="1"/>
      <w:numFmt w:val="decimal"/>
      <w:pStyle w:val="ad"/>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557C2AF5"/>
    <w:multiLevelType w:val="multilevel"/>
    <w:tmpl w:val="557C2AF5"/>
    <w:lvl w:ilvl="0">
      <w:start w:val="1"/>
      <w:numFmt w:val="decimal"/>
      <w:pStyle w:val="ae"/>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5">
    <w:nsid w:val="5B36EB98"/>
    <w:multiLevelType w:val="multilevel"/>
    <w:tmpl w:val="5B36EB98"/>
    <w:lvl w:ilvl="0">
      <w:start w:val="1"/>
      <w:numFmt w:val="none"/>
      <w:pStyle w:val="af"/>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f0"/>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7">
    <w:nsid w:val="646260FA"/>
    <w:multiLevelType w:val="multilevel"/>
    <w:tmpl w:val="646260FA"/>
    <w:lvl w:ilvl="0">
      <w:start w:val="1"/>
      <w:numFmt w:val="decimal"/>
      <w:pStyle w:val="af1"/>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8">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2"/>
      <w:suff w:val="nothing"/>
      <w:lvlText w:val="%1%2　"/>
      <w:lvlJc w:val="left"/>
      <w:pPr>
        <w:ind w:left="0" w:firstLine="0"/>
      </w:pPr>
      <w:rPr>
        <w:rFonts w:ascii="黑体" w:eastAsia="黑体" w:hint="eastAsia"/>
        <w:b w:val="0"/>
        <w:i w:val="0"/>
        <w:sz w:val="21"/>
      </w:rPr>
    </w:lvl>
    <w:lvl w:ilvl="2">
      <w:start w:val="1"/>
      <w:numFmt w:val="decimal"/>
      <w:pStyle w:val="af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7"/>
  </w:num>
  <w:num w:numId="2">
    <w:abstractNumId w:val="14"/>
  </w:num>
  <w:num w:numId="3">
    <w:abstractNumId w:val="9"/>
  </w:num>
  <w:num w:numId="4">
    <w:abstractNumId w:val="5"/>
  </w:num>
  <w:num w:numId="5">
    <w:abstractNumId w:val="11"/>
  </w:num>
  <w:num w:numId="6">
    <w:abstractNumId w:val="8"/>
  </w:num>
  <w:num w:numId="7">
    <w:abstractNumId w:val="6"/>
  </w:num>
  <w:num w:numId="8">
    <w:abstractNumId w:val="16"/>
  </w:num>
  <w:num w:numId="9">
    <w:abstractNumId w:val="3"/>
  </w:num>
  <w:num w:numId="10">
    <w:abstractNumId w:val="18"/>
  </w:num>
  <w:num w:numId="11">
    <w:abstractNumId w:val="12"/>
  </w:num>
  <w:num w:numId="12">
    <w:abstractNumId w:val="15"/>
  </w:num>
  <w:num w:numId="13">
    <w:abstractNumId w:val="1"/>
  </w:num>
  <w:num w:numId="14">
    <w:abstractNumId w:val="7"/>
  </w:num>
  <w:num w:numId="15">
    <w:abstractNumId w:val="0"/>
  </w:num>
  <w:num w:numId="16">
    <w:abstractNumId w:val="2"/>
  </w:num>
  <w:num w:numId="17">
    <w:abstractNumId w:val="4"/>
  </w:num>
  <w:num w:numId="18">
    <w:abstractNumId w:val="10"/>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TrueTypeFont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BDF63E3D"/>
    <w:rsid w:val="CB7C5BFC"/>
    <w:rsid w:val="DF3A5D3C"/>
    <w:rsid w:val="EEE3C452"/>
    <w:rsid w:val="EEF751F1"/>
    <w:rsid w:val="F57963B0"/>
    <w:rsid w:val="F9DB69FD"/>
    <w:rsid w:val="FF7E6780"/>
    <w:rsid w:val="FF7F5C5C"/>
    <w:rsid w:val="FFFEF4CD"/>
    <w:rsid w:val="0000457E"/>
    <w:rsid w:val="00005CA4"/>
    <w:rsid w:val="000107BC"/>
    <w:rsid w:val="00013090"/>
    <w:rsid w:val="00014A18"/>
    <w:rsid w:val="00016837"/>
    <w:rsid w:val="00021331"/>
    <w:rsid w:val="00023119"/>
    <w:rsid w:val="00023FE2"/>
    <w:rsid w:val="00024212"/>
    <w:rsid w:val="00024664"/>
    <w:rsid w:val="00032CD6"/>
    <w:rsid w:val="00033257"/>
    <w:rsid w:val="00034233"/>
    <w:rsid w:val="00034BDB"/>
    <w:rsid w:val="00047D7B"/>
    <w:rsid w:val="000524F4"/>
    <w:rsid w:val="00053B0B"/>
    <w:rsid w:val="00056C7D"/>
    <w:rsid w:val="000576D0"/>
    <w:rsid w:val="00057758"/>
    <w:rsid w:val="00060FE2"/>
    <w:rsid w:val="00065C90"/>
    <w:rsid w:val="0007330D"/>
    <w:rsid w:val="00073888"/>
    <w:rsid w:val="00073F72"/>
    <w:rsid w:val="00074EB1"/>
    <w:rsid w:val="00076BBA"/>
    <w:rsid w:val="00077427"/>
    <w:rsid w:val="00080F2F"/>
    <w:rsid w:val="0008145A"/>
    <w:rsid w:val="00082782"/>
    <w:rsid w:val="00084192"/>
    <w:rsid w:val="0009177A"/>
    <w:rsid w:val="0009191C"/>
    <w:rsid w:val="00093E74"/>
    <w:rsid w:val="00095343"/>
    <w:rsid w:val="000962F6"/>
    <w:rsid w:val="000A0201"/>
    <w:rsid w:val="000A1EAE"/>
    <w:rsid w:val="000A3070"/>
    <w:rsid w:val="000A4601"/>
    <w:rsid w:val="000A77CD"/>
    <w:rsid w:val="000B572A"/>
    <w:rsid w:val="000D0ACE"/>
    <w:rsid w:val="000D0B54"/>
    <w:rsid w:val="000D15BE"/>
    <w:rsid w:val="000D5AC8"/>
    <w:rsid w:val="000D6612"/>
    <w:rsid w:val="000D751C"/>
    <w:rsid w:val="000D7F33"/>
    <w:rsid w:val="000E6DB7"/>
    <w:rsid w:val="000F10EB"/>
    <w:rsid w:val="000F3365"/>
    <w:rsid w:val="000F517A"/>
    <w:rsid w:val="000F7D5B"/>
    <w:rsid w:val="001012D5"/>
    <w:rsid w:val="00101D2E"/>
    <w:rsid w:val="00103B83"/>
    <w:rsid w:val="00105252"/>
    <w:rsid w:val="001062E3"/>
    <w:rsid w:val="00106661"/>
    <w:rsid w:val="0010769F"/>
    <w:rsid w:val="00107B09"/>
    <w:rsid w:val="00110864"/>
    <w:rsid w:val="00110F43"/>
    <w:rsid w:val="00112415"/>
    <w:rsid w:val="00113B53"/>
    <w:rsid w:val="00114946"/>
    <w:rsid w:val="00122573"/>
    <w:rsid w:val="00124F56"/>
    <w:rsid w:val="001265CE"/>
    <w:rsid w:val="00126CA6"/>
    <w:rsid w:val="001273E7"/>
    <w:rsid w:val="00127EB0"/>
    <w:rsid w:val="00131B03"/>
    <w:rsid w:val="00132C5F"/>
    <w:rsid w:val="00133786"/>
    <w:rsid w:val="00134DD4"/>
    <w:rsid w:val="001435D3"/>
    <w:rsid w:val="001449B5"/>
    <w:rsid w:val="001463AC"/>
    <w:rsid w:val="00151076"/>
    <w:rsid w:val="0015152A"/>
    <w:rsid w:val="00156020"/>
    <w:rsid w:val="00156663"/>
    <w:rsid w:val="001611BB"/>
    <w:rsid w:val="001640D1"/>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6054"/>
    <w:rsid w:val="0019711F"/>
    <w:rsid w:val="001A0DBF"/>
    <w:rsid w:val="001A3402"/>
    <w:rsid w:val="001A3D3D"/>
    <w:rsid w:val="001B0E92"/>
    <w:rsid w:val="001B36E5"/>
    <w:rsid w:val="001B3B17"/>
    <w:rsid w:val="001C5F01"/>
    <w:rsid w:val="001C793C"/>
    <w:rsid w:val="001D1686"/>
    <w:rsid w:val="001D22F0"/>
    <w:rsid w:val="001D64DB"/>
    <w:rsid w:val="001D7816"/>
    <w:rsid w:val="001E5000"/>
    <w:rsid w:val="001F07A8"/>
    <w:rsid w:val="001F16E6"/>
    <w:rsid w:val="001F241E"/>
    <w:rsid w:val="001F4AE1"/>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472B8"/>
    <w:rsid w:val="00251FDC"/>
    <w:rsid w:val="002526F3"/>
    <w:rsid w:val="00254F7A"/>
    <w:rsid w:val="00256FE0"/>
    <w:rsid w:val="002614C6"/>
    <w:rsid w:val="002621E1"/>
    <w:rsid w:val="00262753"/>
    <w:rsid w:val="00262771"/>
    <w:rsid w:val="00262F6C"/>
    <w:rsid w:val="00264A7D"/>
    <w:rsid w:val="00264CE4"/>
    <w:rsid w:val="002651A9"/>
    <w:rsid w:val="00266090"/>
    <w:rsid w:val="0027235B"/>
    <w:rsid w:val="00277C35"/>
    <w:rsid w:val="00283085"/>
    <w:rsid w:val="00283E25"/>
    <w:rsid w:val="00284933"/>
    <w:rsid w:val="0029063F"/>
    <w:rsid w:val="0029084D"/>
    <w:rsid w:val="00291D7F"/>
    <w:rsid w:val="00291EF3"/>
    <w:rsid w:val="002952AC"/>
    <w:rsid w:val="002A2FCF"/>
    <w:rsid w:val="002A4D06"/>
    <w:rsid w:val="002A5D80"/>
    <w:rsid w:val="002B07E3"/>
    <w:rsid w:val="002B23AB"/>
    <w:rsid w:val="002B2E35"/>
    <w:rsid w:val="002B3D69"/>
    <w:rsid w:val="002B5497"/>
    <w:rsid w:val="002C1D2A"/>
    <w:rsid w:val="002C4618"/>
    <w:rsid w:val="002C4FFB"/>
    <w:rsid w:val="002C5534"/>
    <w:rsid w:val="002C611B"/>
    <w:rsid w:val="002C6A53"/>
    <w:rsid w:val="002C73B6"/>
    <w:rsid w:val="002D2662"/>
    <w:rsid w:val="002D26AD"/>
    <w:rsid w:val="002D32A0"/>
    <w:rsid w:val="002D49CC"/>
    <w:rsid w:val="002D6D1E"/>
    <w:rsid w:val="002E073F"/>
    <w:rsid w:val="002E7467"/>
    <w:rsid w:val="002E7A35"/>
    <w:rsid w:val="002F34AA"/>
    <w:rsid w:val="002F4B59"/>
    <w:rsid w:val="002F4BCA"/>
    <w:rsid w:val="002F4D7B"/>
    <w:rsid w:val="002F513F"/>
    <w:rsid w:val="002F613B"/>
    <w:rsid w:val="003025DF"/>
    <w:rsid w:val="00303E23"/>
    <w:rsid w:val="00304BFD"/>
    <w:rsid w:val="003054AB"/>
    <w:rsid w:val="00306925"/>
    <w:rsid w:val="003072D1"/>
    <w:rsid w:val="0031011D"/>
    <w:rsid w:val="00311AEE"/>
    <w:rsid w:val="003144B8"/>
    <w:rsid w:val="00314640"/>
    <w:rsid w:val="00323207"/>
    <w:rsid w:val="00327623"/>
    <w:rsid w:val="0033375C"/>
    <w:rsid w:val="00334EC3"/>
    <w:rsid w:val="0034090F"/>
    <w:rsid w:val="00343C24"/>
    <w:rsid w:val="00344921"/>
    <w:rsid w:val="00345BCC"/>
    <w:rsid w:val="00346982"/>
    <w:rsid w:val="00352D8D"/>
    <w:rsid w:val="00353735"/>
    <w:rsid w:val="00354D06"/>
    <w:rsid w:val="00356D19"/>
    <w:rsid w:val="00357A1D"/>
    <w:rsid w:val="00357E18"/>
    <w:rsid w:val="0036001E"/>
    <w:rsid w:val="00360952"/>
    <w:rsid w:val="003620B6"/>
    <w:rsid w:val="00362F10"/>
    <w:rsid w:val="00365248"/>
    <w:rsid w:val="00365252"/>
    <w:rsid w:val="00372A01"/>
    <w:rsid w:val="00372C98"/>
    <w:rsid w:val="00373BAD"/>
    <w:rsid w:val="00374390"/>
    <w:rsid w:val="003754CF"/>
    <w:rsid w:val="00381796"/>
    <w:rsid w:val="00382AB2"/>
    <w:rsid w:val="00385AD9"/>
    <w:rsid w:val="00386647"/>
    <w:rsid w:val="003910E6"/>
    <w:rsid w:val="00391984"/>
    <w:rsid w:val="00392E22"/>
    <w:rsid w:val="00396025"/>
    <w:rsid w:val="003A36B0"/>
    <w:rsid w:val="003B1916"/>
    <w:rsid w:val="003B2F32"/>
    <w:rsid w:val="003B5050"/>
    <w:rsid w:val="003B729F"/>
    <w:rsid w:val="003C2C74"/>
    <w:rsid w:val="003C2D44"/>
    <w:rsid w:val="003C483D"/>
    <w:rsid w:val="003C5E21"/>
    <w:rsid w:val="003C6ABB"/>
    <w:rsid w:val="003D3AF0"/>
    <w:rsid w:val="003D48B6"/>
    <w:rsid w:val="003D51D0"/>
    <w:rsid w:val="003D5CB5"/>
    <w:rsid w:val="003D6E58"/>
    <w:rsid w:val="003E330B"/>
    <w:rsid w:val="003E4A86"/>
    <w:rsid w:val="003E565E"/>
    <w:rsid w:val="003E60FC"/>
    <w:rsid w:val="003F284D"/>
    <w:rsid w:val="003F28D0"/>
    <w:rsid w:val="003F3119"/>
    <w:rsid w:val="003F392A"/>
    <w:rsid w:val="003F3AAC"/>
    <w:rsid w:val="003F3C57"/>
    <w:rsid w:val="003F727B"/>
    <w:rsid w:val="0040035D"/>
    <w:rsid w:val="00403F64"/>
    <w:rsid w:val="00404BD1"/>
    <w:rsid w:val="004050BE"/>
    <w:rsid w:val="0040610D"/>
    <w:rsid w:val="00406A80"/>
    <w:rsid w:val="00415729"/>
    <w:rsid w:val="0042062E"/>
    <w:rsid w:val="0042401D"/>
    <w:rsid w:val="00424AF1"/>
    <w:rsid w:val="00424FCB"/>
    <w:rsid w:val="00425860"/>
    <w:rsid w:val="00427B81"/>
    <w:rsid w:val="00434E46"/>
    <w:rsid w:val="00434F90"/>
    <w:rsid w:val="004378E4"/>
    <w:rsid w:val="0044118D"/>
    <w:rsid w:val="00443BED"/>
    <w:rsid w:val="004441BD"/>
    <w:rsid w:val="00444356"/>
    <w:rsid w:val="00445F8C"/>
    <w:rsid w:val="004503F4"/>
    <w:rsid w:val="0045483D"/>
    <w:rsid w:val="00455661"/>
    <w:rsid w:val="00457C16"/>
    <w:rsid w:val="0046025A"/>
    <w:rsid w:val="00460359"/>
    <w:rsid w:val="004605D8"/>
    <w:rsid w:val="00460882"/>
    <w:rsid w:val="004626AF"/>
    <w:rsid w:val="00462BA6"/>
    <w:rsid w:val="00465230"/>
    <w:rsid w:val="00467DEF"/>
    <w:rsid w:val="004715D8"/>
    <w:rsid w:val="00475C51"/>
    <w:rsid w:val="00477239"/>
    <w:rsid w:val="004805D0"/>
    <w:rsid w:val="00480BA1"/>
    <w:rsid w:val="00481328"/>
    <w:rsid w:val="004814A9"/>
    <w:rsid w:val="0048357F"/>
    <w:rsid w:val="00484EF3"/>
    <w:rsid w:val="00485212"/>
    <w:rsid w:val="004865C9"/>
    <w:rsid w:val="00487866"/>
    <w:rsid w:val="0049011A"/>
    <w:rsid w:val="00491FE3"/>
    <w:rsid w:val="0049241F"/>
    <w:rsid w:val="0049390C"/>
    <w:rsid w:val="004A095C"/>
    <w:rsid w:val="004A25C4"/>
    <w:rsid w:val="004A2878"/>
    <w:rsid w:val="004A3EA2"/>
    <w:rsid w:val="004A614E"/>
    <w:rsid w:val="004A660C"/>
    <w:rsid w:val="004A72CD"/>
    <w:rsid w:val="004A76AB"/>
    <w:rsid w:val="004B2E7F"/>
    <w:rsid w:val="004B31EC"/>
    <w:rsid w:val="004B782D"/>
    <w:rsid w:val="004C4136"/>
    <w:rsid w:val="004D02D5"/>
    <w:rsid w:val="004D155D"/>
    <w:rsid w:val="004D2302"/>
    <w:rsid w:val="004D393C"/>
    <w:rsid w:val="004D5B22"/>
    <w:rsid w:val="004E3026"/>
    <w:rsid w:val="004F0593"/>
    <w:rsid w:val="004F48C2"/>
    <w:rsid w:val="004F74F0"/>
    <w:rsid w:val="004F7AB8"/>
    <w:rsid w:val="004F7FA9"/>
    <w:rsid w:val="005009D1"/>
    <w:rsid w:val="0050156A"/>
    <w:rsid w:val="00502409"/>
    <w:rsid w:val="00505469"/>
    <w:rsid w:val="005066ED"/>
    <w:rsid w:val="005067C2"/>
    <w:rsid w:val="0051028F"/>
    <w:rsid w:val="0051148B"/>
    <w:rsid w:val="00513080"/>
    <w:rsid w:val="00514C97"/>
    <w:rsid w:val="005159F5"/>
    <w:rsid w:val="00516AFA"/>
    <w:rsid w:val="00526200"/>
    <w:rsid w:val="005269CF"/>
    <w:rsid w:val="00533225"/>
    <w:rsid w:val="00533886"/>
    <w:rsid w:val="0053418A"/>
    <w:rsid w:val="00535AC6"/>
    <w:rsid w:val="00535D1E"/>
    <w:rsid w:val="00537550"/>
    <w:rsid w:val="00541E4A"/>
    <w:rsid w:val="0054317B"/>
    <w:rsid w:val="00546DEA"/>
    <w:rsid w:val="00550145"/>
    <w:rsid w:val="00550E83"/>
    <w:rsid w:val="00560638"/>
    <w:rsid w:val="005639F8"/>
    <w:rsid w:val="00563C07"/>
    <w:rsid w:val="005656AA"/>
    <w:rsid w:val="005742DB"/>
    <w:rsid w:val="00577C08"/>
    <w:rsid w:val="005802BD"/>
    <w:rsid w:val="0058151C"/>
    <w:rsid w:val="00581CE7"/>
    <w:rsid w:val="00582A75"/>
    <w:rsid w:val="00582F5C"/>
    <w:rsid w:val="0058472C"/>
    <w:rsid w:val="005870E5"/>
    <w:rsid w:val="005873D6"/>
    <w:rsid w:val="005876DE"/>
    <w:rsid w:val="00590F0C"/>
    <w:rsid w:val="00593466"/>
    <w:rsid w:val="00596702"/>
    <w:rsid w:val="005977DE"/>
    <w:rsid w:val="005A1A17"/>
    <w:rsid w:val="005A4523"/>
    <w:rsid w:val="005A4707"/>
    <w:rsid w:val="005A5645"/>
    <w:rsid w:val="005A6D7F"/>
    <w:rsid w:val="005B0CDC"/>
    <w:rsid w:val="005B2261"/>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38B2"/>
    <w:rsid w:val="006062AE"/>
    <w:rsid w:val="0060656D"/>
    <w:rsid w:val="00606B5A"/>
    <w:rsid w:val="00610884"/>
    <w:rsid w:val="00613263"/>
    <w:rsid w:val="00614347"/>
    <w:rsid w:val="006147DA"/>
    <w:rsid w:val="0062702A"/>
    <w:rsid w:val="00635259"/>
    <w:rsid w:val="00636DF8"/>
    <w:rsid w:val="006404F1"/>
    <w:rsid w:val="0064449B"/>
    <w:rsid w:val="00644EED"/>
    <w:rsid w:val="006467C4"/>
    <w:rsid w:val="00651C9C"/>
    <w:rsid w:val="00652937"/>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7A6"/>
    <w:rsid w:val="006A1BD7"/>
    <w:rsid w:val="006A3112"/>
    <w:rsid w:val="006B1080"/>
    <w:rsid w:val="006B2092"/>
    <w:rsid w:val="006B6EA3"/>
    <w:rsid w:val="006C0CC1"/>
    <w:rsid w:val="006C6B87"/>
    <w:rsid w:val="006C70ED"/>
    <w:rsid w:val="006D0354"/>
    <w:rsid w:val="006D4B56"/>
    <w:rsid w:val="006D4CCC"/>
    <w:rsid w:val="006D50EC"/>
    <w:rsid w:val="006D5788"/>
    <w:rsid w:val="006D5D5F"/>
    <w:rsid w:val="006E155C"/>
    <w:rsid w:val="006E65EC"/>
    <w:rsid w:val="006E7520"/>
    <w:rsid w:val="006F03ED"/>
    <w:rsid w:val="006F67E6"/>
    <w:rsid w:val="006F77F7"/>
    <w:rsid w:val="00700D32"/>
    <w:rsid w:val="0070138D"/>
    <w:rsid w:val="00701A2B"/>
    <w:rsid w:val="0070266E"/>
    <w:rsid w:val="007053F4"/>
    <w:rsid w:val="00705429"/>
    <w:rsid w:val="00705F4C"/>
    <w:rsid w:val="0070730B"/>
    <w:rsid w:val="00712BC5"/>
    <w:rsid w:val="00715CA4"/>
    <w:rsid w:val="00716EAC"/>
    <w:rsid w:val="00720395"/>
    <w:rsid w:val="00721E5B"/>
    <w:rsid w:val="00722AAE"/>
    <w:rsid w:val="0072448B"/>
    <w:rsid w:val="007245EF"/>
    <w:rsid w:val="00726016"/>
    <w:rsid w:val="00726F82"/>
    <w:rsid w:val="00735B90"/>
    <w:rsid w:val="007432F4"/>
    <w:rsid w:val="00743FF1"/>
    <w:rsid w:val="0075401E"/>
    <w:rsid w:val="00755471"/>
    <w:rsid w:val="007556A8"/>
    <w:rsid w:val="00756686"/>
    <w:rsid w:val="00756762"/>
    <w:rsid w:val="00760DDA"/>
    <w:rsid w:val="00760FBD"/>
    <w:rsid w:val="00773430"/>
    <w:rsid w:val="00774780"/>
    <w:rsid w:val="007768A2"/>
    <w:rsid w:val="00776FE6"/>
    <w:rsid w:val="007812EA"/>
    <w:rsid w:val="00781F1A"/>
    <w:rsid w:val="00782C84"/>
    <w:rsid w:val="00784D8F"/>
    <w:rsid w:val="007912E9"/>
    <w:rsid w:val="007923BD"/>
    <w:rsid w:val="00793820"/>
    <w:rsid w:val="00794DE3"/>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C5F60"/>
    <w:rsid w:val="007D1773"/>
    <w:rsid w:val="007D3096"/>
    <w:rsid w:val="007D4356"/>
    <w:rsid w:val="007D4FCA"/>
    <w:rsid w:val="007D520B"/>
    <w:rsid w:val="007D5225"/>
    <w:rsid w:val="007D6192"/>
    <w:rsid w:val="007D646F"/>
    <w:rsid w:val="007E0035"/>
    <w:rsid w:val="007F05BA"/>
    <w:rsid w:val="007F1688"/>
    <w:rsid w:val="007F17C2"/>
    <w:rsid w:val="007F3051"/>
    <w:rsid w:val="007F445F"/>
    <w:rsid w:val="007F69C4"/>
    <w:rsid w:val="00800158"/>
    <w:rsid w:val="00800C49"/>
    <w:rsid w:val="008017B1"/>
    <w:rsid w:val="008019FB"/>
    <w:rsid w:val="00805B1A"/>
    <w:rsid w:val="00812666"/>
    <w:rsid w:val="00816354"/>
    <w:rsid w:val="00825BEF"/>
    <w:rsid w:val="00826AFA"/>
    <w:rsid w:val="008275DE"/>
    <w:rsid w:val="0083025F"/>
    <w:rsid w:val="00831A4E"/>
    <w:rsid w:val="00834158"/>
    <w:rsid w:val="00834F29"/>
    <w:rsid w:val="00837133"/>
    <w:rsid w:val="00841576"/>
    <w:rsid w:val="00841FDD"/>
    <w:rsid w:val="00843099"/>
    <w:rsid w:val="00844A63"/>
    <w:rsid w:val="00845B6B"/>
    <w:rsid w:val="00850452"/>
    <w:rsid w:val="00850867"/>
    <w:rsid w:val="0085555C"/>
    <w:rsid w:val="0085722C"/>
    <w:rsid w:val="00860076"/>
    <w:rsid w:val="00864B42"/>
    <w:rsid w:val="00864EDC"/>
    <w:rsid w:val="008717FD"/>
    <w:rsid w:val="00872085"/>
    <w:rsid w:val="0087311E"/>
    <w:rsid w:val="008766A7"/>
    <w:rsid w:val="00877906"/>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1C32"/>
    <w:rsid w:val="008E340A"/>
    <w:rsid w:val="008E6811"/>
    <w:rsid w:val="008E6E35"/>
    <w:rsid w:val="008E71FB"/>
    <w:rsid w:val="008F024A"/>
    <w:rsid w:val="008F44F1"/>
    <w:rsid w:val="008F4CD3"/>
    <w:rsid w:val="008F62FB"/>
    <w:rsid w:val="00900B1D"/>
    <w:rsid w:val="00901C67"/>
    <w:rsid w:val="009058DF"/>
    <w:rsid w:val="00910D7C"/>
    <w:rsid w:val="00910E34"/>
    <w:rsid w:val="00911CE5"/>
    <w:rsid w:val="009133CD"/>
    <w:rsid w:val="0091490C"/>
    <w:rsid w:val="0091556A"/>
    <w:rsid w:val="009204DB"/>
    <w:rsid w:val="009206E4"/>
    <w:rsid w:val="0092128F"/>
    <w:rsid w:val="00922063"/>
    <w:rsid w:val="009220D3"/>
    <w:rsid w:val="009226F2"/>
    <w:rsid w:val="00926314"/>
    <w:rsid w:val="00930317"/>
    <w:rsid w:val="00933333"/>
    <w:rsid w:val="0093364F"/>
    <w:rsid w:val="00934E57"/>
    <w:rsid w:val="00936A0A"/>
    <w:rsid w:val="00940B42"/>
    <w:rsid w:val="00944176"/>
    <w:rsid w:val="0094724D"/>
    <w:rsid w:val="009510ED"/>
    <w:rsid w:val="009516E3"/>
    <w:rsid w:val="00954E13"/>
    <w:rsid w:val="00955098"/>
    <w:rsid w:val="00962A6D"/>
    <w:rsid w:val="009642C6"/>
    <w:rsid w:val="0096452B"/>
    <w:rsid w:val="00971992"/>
    <w:rsid w:val="00975377"/>
    <w:rsid w:val="0097752F"/>
    <w:rsid w:val="00980E2D"/>
    <w:rsid w:val="00981308"/>
    <w:rsid w:val="00983CDC"/>
    <w:rsid w:val="00983E62"/>
    <w:rsid w:val="00984743"/>
    <w:rsid w:val="00985D99"/>
    <w:rsid w:val="009878F3"/>
    <w:rsid w:val="00987A4E"/>
    <w:rsid w:val="00987C57"/>
    <w:rsid w:val="0099188F"/>
    <w:rsid w:val="009926D7"/>
    <w:rsid w:val="00993328"/>
    <w:rsid w:val="00995822"/>
    <w:rsid w:val="00997A44"/>
    <w:rsid w:val="009A1FC7"/>
    <w:rsid w:val="009A7254"/>
    <w:rsid w:val="009B1E54"/>
    <w:rsid w:val="009B2BF4"/>
    <w:rsid w:val="009B52A3"/>
    <w:rsid w:val="009B52FC"/>
    <w:rsid w:val="009B53BA"/>
    <w:rsid w:val="009B609B"/>
    <w:rsid w:val="009B6F4E"/>
    <w:rsid w:val="009B6FA5"/>
    <w:rsid w:val="009B70E4"/>
    <w:rsid w:val="009B74CD"/>
    <w:rsid w:val="009D1F6F"/>
    <w:rsid w:val="009D38DB"/>
    <w:rsid w:val="009D3D0A"/>
    <w:rsid w:val="009D628E"/>
    <w:rsid w:val="009D62DE"/>
    <w:rsid w:val="009E1F06"/>
    <w:rsid w:val="009E5DEF"/>
    <w:rsid w:val="009E6B6B"/>
    <w:rsid w:val="009F212C"/>
    <w:rsid w:val="009F3B36"/>
    <w:rsid w:val="009F4EFE"/>
    <w:rsid w:val="009F79E3"/>
    <w:rsid w:val="00A01A52"/>
    <w:rsid w:val="00A02A0A"/>
    <w:rsid w:val="00A04717"/>
    <w:rsid w:val="00A04E49"/>
    <w:rsid w:val="00A055DB"/>
    <w:rsid w:val="00A10236"/>
    <w:rsid w:val="00A10B7E"/>
    <w:rsid w:val="00A11E9D"/>
    <w:rsid w:val="00A1598C"/>
    <w:rsid w:val="00A15EDE"/>
    <w:rsid w:val="00A163CB"/>
    <w:rsid w:val="00A24789"/>
    <w:rsid w:val="00A25268"/>
    <w:rsid w:val="00A34924"/>
    <w:rsid w:val="00A35F3F"/>
    <w:rsid w:val="00A3755F"/>
    <w:rsid w:val="00A40234"/>
    <w:rsid w:val="00A4496C"/>
    <w:rsid w:val="00A51BDA"/>
    <w:rsid w:val="00A52FED"/>
    <w:rsid w:val="00A547EA"/>
    <w:rsid w:val="00A54EE3"/>
    <w:rsid w:val="00A60040"/>
    <w:rsid w:val="00A61125"/>
    <w:rsid w:val="00A64033"/>
    <w:rsid w:val="00A6506D"/>
    <w:rsid w:val="00A65635"/>
    <w:rsid w:val="00A66230"/>
    <w:rsid w:val="00A666E6"/>
    <w:rsid w:val="00A66B33"/>
    <w:rsid w:val="00A706DE"/>
    <w:rsid w:val="00A70BEA"/>
    <w:rsid w:val="00A7226B"/>
    <w:rsid w:val="00A74C23"/>
    <w:rsid w:val="00A77E2C"/>
    <w:rsid w:val="00A80575"/>
    <w:rsid w:val="00A806B3"/>
    <w:rsid w:val="00A80E57"/>
    <w:rsid w:val="00A82337"/>
    <w:rsid w:val="00A843BF"/>
    <w:rsid w:val="00A870BE"/>
    <w:rsid w:val="00A90118"/>
    <w:rsid w:val="00A90821"/>
    <w:rsid w:val="00A928C5"/>
    <w:rsid w:val="00A94CCD"/>
    <w:rsid w:val="00A955A3"/>
    <w:rsid w:val="00A958C2"/>
    <w:rsid w:val="00A95C9E"/>
    <w:rsid w:val="00A965CD"/>
    <w:rsid w:val="00A96933"/>
    <w:rsid w:val="00A977FB"/>
    <w:rsid w:val="00A97D34"/>
    <w:rsid w:val="00AA175E"/>
    <w:rsid w:val="00AA1B3F"/>
    <w:rsid w:val="00AA565B"/>
    <w:rsid w:val="00AA6572"/>
    <w:rsid w:val="00AA6DE0"/>
    <w:rsid w:val="00AB0EDD"/>
    <w:rsid w:val="00AB238D"/>
    <w:rsid w:val="00AC5DC1"/>
    <w:rsid w:val="00AC767C"/>
    <w:rsid w:val="00AD1275"/>
    <w:rsid w:val="00AD56BA"/>
    <w:rsid w:val="00AE5941"/>
    <w:rsid w:val="00AE7E72"/>
    <w:rsid w:val="00AF00B0"/>
    <w:rsid w:val="00AF0B6E"/>
    <w:rsid w:val="00AF0C1B"/>
    <w:rsid w:val="00AF1152"/>
    <w:rsid w:val="00AF20DE"/>
    <w:rsid w:val="00AF2C7E"/>
    <w:rsid w:val="00AF337C"/>
    <w:rsid w:val="00AF365B"/>
    <w:rsid w:val="00AF3BC9"/>
    <w:rsid w:val="00B0135E"/>
    <w:rsid w:val="00B0152E"/>
    <w:rsid w:val="00B06F77"/>
    <w:rsid w:val="00B112D1"/>
    <w:rsid w:val="00B15912"/>
    <w:rsid w:val="00B17EA4"/>
    <w:rsid w:val="00B2401D"/>
    <w:rsid w:val="00B24145"/>
    <w:rsid w:val="00B271E2"/>
    <w:rsid w:val="00B27F1E"/>
    <w:rsid w:val="00B320E0"/>
    <w:rsid w:val="00B32D83"/>
    <w:rsid w:val="00B35A2B"/>
    <w:rsid w:val="00B40143"/>
    <w:rsid w:val="00B44598"/>
    <w:rsid w:val="00B44C87"/>
    <w:rsid w:val="00B45127"/>
    <w:rsid w:val="00B45CD7"/>
    <w:rsid w:val="00B47772"/>
    <w:rsid w:val="00B525E7"/>
    <w:rsid w:val="00B52619"/>
    <w:rsid w:val="00B5298A"/>
    <w:rsid w:val="00B52BC2"/>
    <w:rsid w:val="00B54714"/>
    <w:rsid w:val="00B54B9E"/>
    <w:rsid w:val="00B5655B"/>
    <w:rsid w:val="00B579AB"/>
    <w:rsid w:val="00B602C0"/>
    <w:rsid w:val="00B639CC"/>
    <w:rsid w:val="00B65AA6"/>
    <w:rsid w:val="00B67A38"/>
    <w:rsid w:val="00B72B6D"/>
    <w:rsid w:val="00B736AC"/>
    <w:rsid w:val="00B74745"/>
    <w:rsid w:val="00B753D4"/>
    <w:rsid w:val="00B777DB"/>
    <w:rsid w:val="00B804DA"/>
    <w:rsid w:val="00B83BD4"/>
    <w:rsid w:val="00B873B1"/>
    <w:rsid w:val="00B91C42"/>
    <w:rsid w:val="00BA3B26"/>
    <w:rsid w:val="00BB0ED6"/>
    <w:rsid w:val="00BB1C0A"/>
    <w:rsid w:val="00BB4376"/>
    <w:rsid w:val="00BB4A45"/>
    <w:rsid w:val="00BB4B74"/>
    <w:rsid w:val="00BB6FED"/>
    <w:rsid w:val="00BC22DE"/>
    <w:rsid w:val="00BC3D38"/>
    <w:rsid w:val="00BC41B2"/>
    <w:rsid w:val="00BC45B6"/>
    <w:rsid w:val="00BC4F9E"/>
    <w:rsid w:val="00BE0799"/>
    <w:rsid w:val="00BE22E2"/>
    <w:rsid w:val="00BE26D9"/>
    <w:rsid w:val="00BF1119"/>
    <w:rsid w:val="00BF46B9"/>
    <w:rsid w:val="00BF5510"/>
    <w:rsid w:val="00C00C31"/>
    <w:rsid w:val="00C04C3E"/>
    <w:rsid w:val="00C070A2"/>
    <w:rsid w:val="00C077C2"/>
    <w:rsid w:val="00C10D37"/>
    <w:rsid w:val="00C13A0F"/>
    <w:rsid w:val="00C14C4A"/>
    <w:rsid w:val="00C17E66"/>
    <w:rsid w:val="00C22482"/>
    <w:rsid w:val="00C242A9"/>
    <w:rsid w:val="00C24D87"/>
    <w:rsid w:val="00C3032A"/>
    <w:rsid w:val="00C31C6D"/>
    <w:rsid w:val="00C31FF2"/>
    <w:rsid w:val="00C33C36"/>
    <w:rsid w:val="00C34E53"/>
    <w:rsid w:val="00C37264"/>
    <w:rsid w:val="00C40428"/>
    <w:rsid w:val="00C408D1"/>
    <w:rsid w:val="00C44645"/>
    <w:rsid w:val="00C50A3F"/>
    <w:rsid w:val="00C51474"/>
    <w:rsid w:val="00C51847"/>
    <w:rsid w:val="00C52381"/>
    <w:rsid w:val="00C5371A"/>
    <w:rsid w:val="00C55C36"/>
    <w:rsid w:val="00C61072"/>
    <w:rsid w:val="00C6137D"/>
    <w:rsid w:val="00C61540"/>
    <w:rsid w:val="00C61B0C"/>
    <w:rsid w:val="00C634E4"/>
    <w:rsid w:val="00C6484A"/>
    <w:rsid w:val="00C6544E"/>
    <w:rsid w:val="00C67D4C"/>
    <w:rsid w:val="00C706FA"/>
    <w:rsid w:val="00C71FD7"/>
    <w:rsid w:val="00C7221B"/>
    <w:rsid w:val="00C808FE"/>
    <w:rsid w:val="00C81D18"/>
    <w:rsid w:val="00C82258"/>
    <w:rsid w:val="00C82744"/>
    <w:rsid w:val="00C836D9"/>
    <w:rsid w:val="00C84109"/>
    <w:rsid w:val="00C843F0"/>
    <w:rsid w:val="00C85F66"/>
    <w:rsid w:val="00C87F51"/>
    <w:rsid w:val="00C95F0B"/>
    <w:rsid w:val="00C96EE4"/>
    <w:rsid w:val="00CA0CFD"/>
    <w:rsid w:val="00CA37C8"/>
    <w:rsid w:val="00CA5047"/>
    <w:rsid w:val="00CA7C2A"/>
    <w:rsid w:val="00CB7E96"/>
    <w:rsid w:val="00CC1221"/>
    <w:rsid w:val="00CC4EE7"/>
    <w:rsid w:val="00CC6DD2"/>
    <w:rsid w:val="00CD4CC6"/>
    <w:rsid w:val="00CD58FA"/>
    <w:rsid w:val="00CD5C22"/>
    <w:rsid w:val="00CE363E"/>
    <w:rsid w:val="00CE68EB"/>
    <w:rsid w:val="00CF1430"/>
    <w:rsid w:val="00CF1AE4"/>
    <w:rsid w:val="00CF77C3"/>
    <w:rsid w:val="00D0046C"/>
    <w:rsid w:val="00D00979"/>
    <w:rsid w:val="00D01E3B"/>
    <w:rsid w:val="00D05480"/>
    <w:rsid w:val="00D06EEA"/>
    <w:rsid w:val="00D11946"/>
    <w:rsid w:val="00D11BAE"/>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37490"/>
    <w:rsid w:val="00D41F8D"/>
    <w:rsid w:val="00D451AB"/>
    <w:rsid w:val="00D50991"/>
    <w:rsid w:val="00D578AF"/>
    <w:rsid w:val="00D61DA0"/>
    <w:rsid w:val="00D65D7A"/>
    <w:rsid w:val="00D6793A"/>
    <w:rsid w:val="00D7347C"/>
    <w:rsid w:val="00D74D7F"/>
    <w:rsid w:val="00D75348"/>
    <w:rsid w:val="00D80F6F"/>
    <w:rsid w:val="00D820E3"/>
    <w:rsid w:val="00D863C9"/>
    <w:rsid w:val="00D9342C"/>
    <w:rsid w:val="00D942E1"/>
    <w:rsid w:val="00D944CB"/>
    <w:rsid w:val="00DA326B"/>
    <w:rsid w:val="00DA3BCE"/>
    <w:rsid w:val="00DA59FA"/>
    <w:rsid w:val="00DB0836"/>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D7317"/>
    <w:rsid w:val="00DE00C5"/>
    <w:rsid w:val="00DE3FB5"/>
    <w:rsid w:val="00DF2749"/>
    <w:rsid w:val="00DF60A6"/>
    <w:rsid w:val="00E00D0A"/>
    <w:rsid w:val="00E05B5A"/>
    <w:rsid w:val="00E05F1B"/>
    <w:rsid w:val="00E07B93"/>
    <w:rsid w:val="00E07E15"/>
    <w:rsid w:val="00E1354A"/>
    <w:rsid w:val="00E161F8"/>
    <w:rsid w:val="00E16B8D"/>
    <w:rsid w:val="00E228B0"/>
    <w:rsid w:val="00E228B2"/>
    <w:rsid w:val="00E261A4"/>
    <w:rsid w:val="00E26EE5"/>
    <w:rsid w:val="00E32815"/>
    <w:rsid w:val="00E33554"/>
    <w:rsid w:val="00E40596"/>
    <w:rsid w:val="00E40BA9"/>
    <w:rsid w:val="00E41B77"/>
    <w:rsid w:val="00E45EC3"/>
    <w:rsid w:val="00E47C4F"/>
    <w:rsid w:val="00E53BBB"/>
    <w:rsid w:val="00E541A3"/>
    <w:rsid w:val="00E6212C"/>
    <w:rsid w:val="00E637BB"/>
    <w:rsid w:val="00E638C8"/>
    <w:rsid w:val="00E65078"/>
    <w:rsid w:val="00E658DD"/>
    <w:rsid w:val="00E65D7E"/>
    <w:rsid w:val="00E70383"/>
    <w:rsid w:val="00E70912"/>
    <w:rsid w:val="00E71678"/>
    <w:rsid w:val="00E723AE"/>
    <w:rsid w:val="00E7427C"/>
    <w:rsid w:val="00E75972"/>
    <w:rsid w:val="00E815D2"/>
    <w:rsid w:val="00E82204"/>
    <w:rsid w:val="00E8377B"/>
    <w:rsid w:val="00E83A77"/>
    <w:rsid w:val="00E8796C"/>
    <w:rsid w:val="00E90251"/>
    <w:rsid w:val="00E933C0"/>
    <w:rsid w:val="00E962B7"/>
    <w:rsid w:val="00E96877"/>
    <w:rsid w:val="00E978BF"/>
    <w:rsid w:val="00EA1188"/>
    <w:rsid w:val="00EA39B7"/>
    <w:rsid w:val="00EB051E"/>
    <w:rsid w:val="00EB0752"/>
    <w:rsid w:val="00EB0AE1"/>
    <w:rsid w:val="00EB1186"/>
    <w:rsid w:val="00EB77CC"/>
    <w:rsid w:val="00EC0997"/>
    <w:rsid w:val="00EC2EEF"/>
    <w:rsid w:val="00EC4C3B"/>
    <w:rsid w:val="00EC5DDD"/>
    <w:rsid w:val="00ED2F39"/>
    <w:rsid w:val="00ED30F4"/>
    <w:rsid w:val="00ED43BB"/>
    <w:rsid w:val="00ED449A"/>
    <w:rsid w:val="00ED68E9"/>
    <w:rsid w:val="00EE1FC2"/>
    <w:rsid w:val="00EE419C"/>
    <w:rsid w:val="00EF52E8"/>
    <w:rsid w:val="00EF670C"/>
    <w:rsid w:val="00F06896"/>
    <w:rsid w:val="00F1132A"/>
    <w:rsid w:val="00F11F09"/>
    <w:rsid w:val="00F125CE"/>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D55D0"/>
    <w:rsid w:val="00FE0661"/>
    <w:rsid w:val="00FF0C09"/>
    <w:rsid w:val="00FF1D34"/>
    <w:rsid w:val="00FF1DD7"/>
    <w:rsid w:val="00FF3775"/>
    <w:rsid w:val="00FF3996"/>
    <w:rsid w:val="01CE5D1C"/>
    <w:rsid w:val="026475DE"/>
    <w:rsid w:val="039E595D"/>
    <w:rsid w:val="06E15F8D"/>
    <w:rsid w:val="070F07F6"/>
    <w:rsid w:val="0765096C"/>
    <w:rsid w:val="08083403"/>
    <w:rsid w:val="081C3970"/>
    <w:rsid w:val="09BE5E2A"/>
    <w:rsid w:val="0A091F73"/>
    <w:rsid w:val="0A5A5842"/>
    <w:rsid w:val="0A8504E9"/>
    <w:rsid w:val="0AF54E47"/>
    <w:rsid w:val="0B073D25"/>
    <w:rsid w:val="0C9D4EAB"/>
    <w:rsid w:val="0D92619C"/>
    <w:rsid w:val="0DEA65B5"/>
    <w:rsid w:val="0F412CA9"/>
    <w:rsid w:val="0FD566D2"/>
    <w:rsid w:val="13B2170D"/>
    <w:rsid w:val="13B97480"/>
    <w:rsid w:val="14034EB5"/>
    <w:rsid w:val="14870494"/>
    <w:rsid w:val="15085E8C"/>
    <w:rsid w:val="15174F60"/>
    <w:rsid w:val="1556095A"/>
    <w:rsid w:val="167D7F24"/>
    <w:rsid w:val="17306AB5"/>
    <w:rsid w:val="17373F64"/>
    <w:rsid w:val="19534DA3"/>
    <w:rsid w:val="19A054D6"/>
    <w:rsid w:val="1B0717C8"/>
    <w:rsid w:val="1BA03836"/>
    <w:rsid w:val="1BE33681"/>
    <w:rsid w:val="1DCB4E4A"/>
    <w:rsid w:val="1E1467F1"/>
    <w:rsid w:val="1FBDA86D"/>
    <w:rsid w:val="207417C9"/>
    <w:rsid w:val="21862EC6"/>
    <w:rsid w:val="237A2B2A"/>
    <w:rsid w:val="242D2C2D"/>
    <w:rsid w:val="25FBCF81"/>
    <w:rsid w:val="28FB2A87"/>
    <w:rsid w:val="2C4F36F5"/>
    <w:rsid w:val="2D5F22BD"/>
    <w:rsid w:val="2FF37D11"/>
    <w:rsid w:val="3013049D"/>
    <w:rsid w:val="332C3D99"/>
    <w:rsid w:val="334836EB"/>
    <w:rsid w:val="33484B1B"/>
    <w:rsid w:val="339259E4"/>
    <w:rsid w:val="365875C5"/>
    <w:rsid w:val="39356049"/>
    <w:rsid w:val="3ABD7602"/>
    <w:rsid w:val="3B4E60E4"/>
    <w:rsid w:val="3BFE2074"/>
    <w:rsid w:val="3F8C7277"/>
    <w:rsid w:val="3FA0222F"/>
    <w:rsid w:val="3FDF106E"/>
    <w:rsid w:val="42C133BC"/>
    <w:rsid w:val="42D769B6"/>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E3578A"/>
    <w:rsid w:val="5382777D"/>
    <w:rsid w:val="53CF9561"/>
    <w:rsid w:val="546121C6"/>
    <w:rsid w:val="54E94B5B"/>
    <w:rsid w:val="55661639"/>
    <w:rsid w:val="55761622"/>
    <w:rsid w:val="5BD857FA"/>
    <w:rsid w:val="5C080481"/>
    <w:rsid w:val="5D1B4C6E"/>
    <w:rsid w:val="5DFE65DB"/>
    <w:rsid w:val="5E202145"/>
    <w:rsid w:val="5F621BCD"/>
    <w:rsid w:val="6031647B"/>
    <w:rsid w:val="60B9109D"/>
    <w:rsid w:val="62F74A7A"/>
    <w:rsid w:val="63BB5260"/>
    <w:rsid w:val="63D25BB7"/>
    <w:rsid w:val="64C23E7D"/>
    <w:rsid w:val="65EE9BF0"/>
    <w:rsid w:val="668E2223"/>
    <w:rsid w:val="67FFD309"/>
    <w:rsid w:val="683026D9"/>
    <w:rsid w:val="693F388B"/>
    <w:rsid w:val="69FFFC0A"/>
    <w:rsid w:val="6D6B2492"/>
    <w:rsid w:val="6DBA21A1"/>
    <w:rsid w:val="6F136B04"/>
    <w:rsid w:val="7304780E"/>
    <w:rsid w:val="73731F46"/>
    <w:rsid w:val="75BB73CE"/>
    <w:rsid w:val="75ED0344"/>
    <w:rsid w:val="78AF3D07"/>
    <w:rsid w:val="7AB14320"/>
    <w:rsid w:val="7AF5051C"/>
    <w:rsid w:val="7BBA680A"/>
    <w:rsid w:val="7BE826AE"/>
    <w:rsid w:val="7BF3368A"/>
    <w:rsid w:val="7CCF532E"/>
    <w:rsid w:val="7DF033B2"/>
    <w:rsid w:val="7E00338F"/>
    <w:rsid w:val="7FAF8CE9"/>
    <w:rsid w:val="7FBE4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5119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EC4C3B"/>
    <w:pPr>
      <w:widowControl w:val="0"/>
      <w:ind w:firstLineChars="200" w:firstLine="880"/>
      <w:jc w:val="both"/>
    </w:pPr>
    <w:rPr>
      <w:rFonts w:eastAsia="仿宋_GB2312"/>
      <w:kern w:val="2"/>
      <w:sz w:val="32"/>
      <w:szCs w:val="24"/>
    </w:rPr>
  </w:style>
  <w:style w:type="paragraph" w:styleId="2">
    <w:name w:val="heading 2"/>
    <w:basedOn w:val="af4"/>
    <w:next w:val="af4"/>
    <w:link w:val="2Char"/>
    <w:semiHidden/>
    <w:unhideWhenUsed/>
    <w:qFormat/>
    <w:rsid w:val="00502409"/>
    <w:pPr>
      <w:keepNext/>
      <w:keepLines/>
      <w:spacing w:before="260" w:after="260" w:line="416" w:lineRule="auto"/>
      <w:outlineLvl w:val="1"/>
    </w:pPr>
    <w:rPr>
      <w:rFonts w:asciiTheme="majorHAnsi" w:eastAsiaTheme="majorEastAsia" w:hAnsiTheme="majorHAnsi" w:cstheme="majorBidi"/>
      <w:b/>
      <w:bCs/>
      <w:szCs w:val="32"/>
    </w:rPr>
  </w:style>
  <w:style w:type="paragraph" w:styleId="3">
    <w:name w:val="heading 3"/>
    <w:basedOn w:val="af4"/>
    <w:next w:val="af4"/>
    <w:link w:val="3Char"/>
    <w:unhideWhenUsed/>
    <w:qFormat/>
    <w:pPr>
      <w:keepNext/>
      <w:keepLines/>
      <w:widowControl/>
      <w:kinsoku w:val="0"/>
      <w:autoSpaceDE w:val="0"/>
      <w:autoSpaceDN w:val="0"/>
      <w:adjustRightInd w:val="0"/>
      <w:snapToGrid w:val="0"/>
      <w:spacing w:beforeLines="50" w:before="50" w:afterLines="50" w:after="50" w:line="360" w:lineRule="auto"/>
      <w:ind w:firstLineChars="0" w:firstLine="0"/>
      <w:jc w:val="left"/>
      <w:textAlignment w:val="baseline"/>
      <w:outlineLvl w:val="2"/>
    </w:pPr>
    <w:rPr>
      <w:rFonts w:eastAsia="宋体" w:cs="Arial"/>
      <w:b/>
      <w:bCs/>
      <w:snapToGrid w:val="0"/>
      <w:color w:val="000000"/>
      <w:kern w:val="0"/>
      <w:sz w:val="21"/>
      <w:szCs w:val="32"/>
      <w:lang w:eastAsia="en-US"/>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Body Text"/>
    <w:basedOn w:val="af4"/>
    <w:unhideWhenUsed/>
    <w:qFormat/>
    <w:pPr>
      <w:spacing w:after="120"/>
    </w:pPr>
  </w:style>
  <w:style w:type="paragraph" w:styleId="af9">
    <w:name w:val="Balloon Text"/>
    <w:basedOn w:val="af4"/>
    <w:link w:val="Char"/>
    <w:semiHidden/>
    <w:unhideWhenUsed/>
    <w:qFormat/>
    <w:rPr>
      <w:sz w:val="18"/>
      <w:szCs w:val="18"/>
    </w:rPr>
  </w:style>
  <w:style w:type="paragraph" w:styleId="afa">
    <w:name w:val="footer"/>
    <w:basedOn w:val="af4"/>
    <w:link w:val="Char0"/>
    <w:uiPriority w:val="99"/>
    <w:qFormat/>
    <w:pPr>
      <w:tabs>
        <w:tab w:val="center" w:pos="4153"/>
        <w:tab w:val="right" w:pos="8306"/>
      </w:tabs>
      <w:snapToGrid w:val="0"/>
      <w:jc w:val="left"/>
    </w:pPr>
    <w:rPr>
      <w:sz w:val="18"/>
      <w:szCs w:val="18"/>
    </w:rPr>
  </w:style>
  <w:style w:type="paragraph" w:styleId="afb">
    <w:name w:val="header"/>
    <w:basedOn w:val="af4"/>
    <w:link w:val="Char1"/>
    <w:qFormat/>
    <w:pPr>
      <w:pBdr>
        <w:bottom w:val="single" w:sz="6" w:space="1" w:color="auto"/>
      </w:pBdr>
      <w:tabs>
        <w:tab w:val="center" w:pos="4153"/>
        <w:tab w:val="right" w:pos="8306"/>
      </w:tabs>
      <w:snapToGrid w:val="0"/>
      <w:jc w:val="center"/>
    </w:pPr>
    <w:rPr>
      <w:sz w:val="18"/>
      <w:szCs w:val="18"/>
    </w:rPr>
  </w:style>
  <w:style w:type="paragraph" w:styleId="afc">
    <w:name w:val="Normal (Web)"/>
    <w:basedOn w:val="af4"/>
    <w:uiPriority w:val="99"/>
    <w:qFormat/>
    <w:pPr>
      <w:spacing w:before="100" w:beforeAutospacing="1" w:after="100" w:afterAutospacing="1"/>
      <w:jc w:val="left"/>
    </w:pPr>
    <w:rPr>
      <w:kern w:val="0"/>
      <w:sz w:val="24"/>
    </w:rPr>
  </w:style>
  <w:style w:type="table" w:styleId="afd">
    <w:name w:val="Table Grid"/>
    <w:basedOn w:val="af6"/>
    <w:uiPriority w:val="5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Hyperlink"/>
    <w:basedOn w:val="af5"/>
    <w:uiPriority w:val="99"/>
    <w:unhideWhenUsed/>
    <w:qFormat/>
    <w:rPr>
      <w:color w:val="0000FF"/>
      <w:u w:val="single"/>
    </w:rPr>
  </w:style>
  <w:style w:type="paragraph" w:customStyle="1" w:styleId="aff">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f0">
    <w:name w:val="正文表标题"/>
    <w:next w:val="aff"/>
    <w:qFormat/>
    <w:pPr>
      <w:spacing w:beforeLines="50" w:afterLines="50"/>
      <w:jc w:val="center"/>
    </w:pPr>
    <w:rPr>
      <w:rFonts w:ascii="黑体" w:eastAsia="黑体"/>
      <w:sz w:val="21"/>
    </w:rPr>
  </w:style>
  <w:style w:type="paragraph" w:customStyle="1" w:styleId="af1">
    <w:name w:val="正文图标题"/>
    <w:next w:val="aff"/>
    <w:qFormat/>
    <w:pPr>
      <w:numPr>
        <w:numId w:val="1"/>
      </w:numPr>
      <w:tabs>
        <w:tab w:val="left" w:pos="360"/>
      </w:tabs>
      <w:spacing w:beforeLines="50" w:afterLines="50"/>
      <w:jc w:val="center"/>
    </w:pPr>
    <w:rPr>
      <w:rFonts w:ascii="黑体" w:eastAsia="黑体"/>
      <w:sz w:val="21"/>
    </w:rPr>
  </w:style>
  <w:style w:type="paragraph" w:customStyle="1" w:styleId="ae">
    <w:name w:val="其他发布日期"/>
    <w:basedOn w:val="af4"/>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1">
    <w:name w:val="一级条标题"/>
    <w:next w:val="aff"/>
    <w:qFormat/>
    <w:pPr>
      <w:spacing w:beforeLines="50" w:afterLines="50"/>
      <w:ind w:left="525"/>
      <w:outlineLvl w:val="2"/>
    </w:pPr>
    <w:rPr>
      <w:rFonts w:ascii="黑体" w:eastAsia="黑体"/>
      <w:sz w:val="21"/>
      <w:szCs w:val="21"/>
    </w:rPr>
  </w:style>
  <w:style w:type="paragraph" w:customStyle="1" w:styleId="a7">
    <w:name w:val="章标题"/>
    <w:next w:val="aff"/>
    <w:qFormat/>
    <w:pPr>
      <w:numPr>
        <w:numId w:val="3"/>
      </w:numPr>
      <w:spacing w:beforeLines="100" w:afterLines="100"/>
      <w:jc w:val="both"/>
      <w:outlineLvl w:val="1"/>
    </w:pPr>
    <w:rPr>
      <w:rFonts w:ascii="黑体" w:eastAsia="黑体"/>
      <w:sz w:val="21"/>
    </w:rPr>
  </w:style>
  <w:style w:type="paragraph" w:customStyle="1" w:styleId="aff2">
    <w:name w:val="二级条标题"/>
    <w:basedOn w:val="aff1"/>
    <w:next w:val="aff"/>
    <w:qFormat/>
    <w:pPr>
      <w:spacing w:before="50" w:after="50"/>
      <w:outlineLvl w:val="3"/>
    </w:pPr>
  </w:style>
  <w:style w:type="paragraph" w:customStyle="1" w:styleId="aff3">
    <w:name w:val="三级条标题"/>
    <w:basedOn w:val="aff2"/>
    <w:next w:val="aff"/>
    <w:qFormat/>
    <w:pPr>
      <w:outlineLvl w:val="4"/>
    </w:pPr>
  </w:style>
  <w:style w:type="paragraph" w:customStyle="1" w:styleId="aff4">
    <w:name w:val="四级条标题"/>
    <w:basedOn w:val="aff3"/>
    <w:next w:val="aff"/>
    <w:qFormat/>
    <w:pPr>
      <w:outlineLvl w:val="5"/>
    </w:pPr>
  </w:style>
  <w:style w:type="paragraph" w:customStyle="1" w:styleId="aff5">
    <w:name w:val="五级条标题"/>
    <w:basedOn w:val="aff4"/>
    <w:next w:val="aff"/>
    <w:qFormat/>
    <w:pPr>
      <w:outlineLvl w:val="6"/>
    </w:pPr>
  </w:style>
  <w:style w:type="paragraph" w:customStyle="1" w:styleId="a3">
    <w:name w:val="注："/>
    <w:next w:val="aff"/>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4"/>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4"/>
    <w:next w:val="aff"/>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4"/>
    <w:qFormat/>
    <w:pPr>
      <w:numPr>
        <w:numId w:val="7"/>
      </w:numPr>
    </w:pPr>
    <w:rPr>
      <w:rFonts w:ascii="宋体"/>
      <w:sz w:val="18"/>
      <w:szCs w:val="18"/>
    </w:rPr>
  </w:style>
  <w:style w:type="character" w:customStyle="1" w:styleId="Char2">
    <w:name w:val="段 Char"/>
    <w:basedOn w:val="af5"/>
    <w:link w:val="aff"/>
    <w:qFormat/>
    <w:rPr>
      <w:rFonts w:ascii="宋体"/>
      <w:sz w:val="21"/>
      <w:lang w:val="en-US" w:eastAsia="zh-CN" w:bidi="ar-SA"/>
    </w:rPr>
  </w:style>
  <w:style w:type="character" w:customStyle="1" w:styleId="Char1">
    <w:name w:val="页眉 Char"/>
    <w:basedOn w:val="af5"/>
    <w:link w:val="afb"/>
    <w:qFormat/>
    <w:rPr>
      <w:kern w:val="2"/>
      <w:sz w:val="18"/>
      <w:szCs w:val="18"/>
    </w:rPr>
  </w:style>
  <w:style w:type="character" w:customStyle="1" w:styleId="Char0">
    <w:name w:val="页脚 Char"/>
    <w:basedOn w:val="af5"/>
    <w:link w:val="afa"/>
    <w:uiPriority w:val="99"/>
    <w:qFormat/>
    <w:rPr>
      <w:kern w:val="2"/>
      <w:sz w:val="18"/>
      <w:szCs w:val="18"/>
    </w:rPr>
  </w:style>
  <w:style w:type="paragraph" w:customStyle="1" w:styleId="af0">
    <w:name w:val="附录表标题"/>
    <w:basedOn w:val="af4"/>
    <w:next w:val="aff"/>
    <w:qFormat/>
    <w:pPr>
      <w:numPr>
        <w:ilvl w:val="1"/>
        <w:numId w:val="8"/>
      </w:numPr>
      <w:tabs>
        <w:tab w:val="left" w:pos="180"/>
      </w:tabs>
      <w:spacing w:beforeLines="50" w:afterLines="50"/>
      <w:ind w:left="0" w:firstLine="0"/>
      <w:jc w:val="center"/>
    </w:pPr>
    <w:rPr>
      <w:rFonts w:ascii="黑体" w:eastAsia="黑体"/>
      <w:szCs w:val="21"/>
    </w:rPr>
  </w:style>
  <w:style w:type="paragraph" w:styleId="aff6">
    <w:name w:val="List Paragraph"/>
    <w:basedOn w:val="af4"/>
    <w:uiPriority w:val="34"/>
    <w:unhideWhenUsed/>
    <w:qFormat/>
    <w:pPr>
      <w:ind w:firstLine="420"/>
    </w:pPr>
  </w:style>
  <w:style w:type="paragraph" w:customStyle="1" w:styleId="aff7">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8">
    <w:name w:val="发布"/>
    <w:qFormat/>
    <w:rPr>
      <w:rFonts w:ascii="黑体" w:eastAsia="黑体"/>
      <w:spacing w:val="22"/>
      <w:w w:val="100"/>
      <w:position w:val="3"/>
      <w:sz w:val="28"/>
    </w:rPr>
  </w:style>
  <w:style w:type="paragraph" w:customStyle="1" w:styleId="aff9">
    <w:name w:val="其他发布部门"/>
    <w:basedOn w:val="af4"/>
    <w:qFormat/>
    <w:pPr>
      <w:widowControl/>
      <w:spacing w:line="0" w:lineRule="atLeast"/>
      <w:jc w:val="center"/>
    </w:pPr>
    <w:rPr>
      <w:rFonts w:ascii="黑体" w:eastAsia="黑体"/>
      <w:spacing w:val="20"/>
      <w:w w:val="135"/>
      <w:kern w:val="0"/>
      <w:sz w:val="36"/>
      <w:szCs w:val="20"/>
    </w:rPr>
  </w:style>
  <w:style w:type="paragraph" w:customStyle="1" w:styleId="affa">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5"/>
    <w:link w:val="af9"/>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1"/>
    <w:qFormat/>
    <w:pPr>
      <w:numPr>
        <w:ilvl w:val="1"/>
        <w:numId w:val="3"/>
      </w:numPr>
      <w:spacing w:beforeLines="0" w:afterLines="0"/>
    </w:pPr>
    <w:rPr>
      <w:rFonts w:ascii="宋体" w:eastAsia="宋体"/>
    </w:rPr>
  </w:style>
  <w:style w:type="paragraph" w:customStyle="1" w:styleId="a2">
    <w:name w:val="标准文件_一级无标题"/>
    <w:basedOn w:val="af3"/>
    <w:qFormat/>
    <w:pPr>
      <w:numPr>
        <w:numId w:val="9"/>
      </w:numPr>
    </w:pPr>
    <w:rPr>
      <w:rFonts w:ascii="宋体" w:hint="eastAsia"/>
    </w:rPr>
  </w:style>
  <w:style w:type="paragraph" w:customStyle="1" w:styleId="af3">
    <w:name w:val="标准文件_一级条标题"/>
    <w:basedOn w:val="af2"/>
    <w:next w:val="affa"/>
    <w:qFormat/>
    <w:pPr>
      <w:numPr>
        <w:ilvl w:val="2"/>
      </w:numPr>
      <w:spacing w:beforeLines="50" w:before="50" w:afterLines="50" w:after="50"/>
      <w:outlineLvl w:val="1"/>
    </w:pPr>
  </w:style>
  <w:style w:type="paragraph" w:customStyle="1" w:styleId="af2">
    <w:name w:val="标准文件_章标题"/>
    <w:next w:val="affa"/>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f">
    <w:name w:val="标准文件_一级项"/>
    <w:basedOn w:val="af4"/>
    <w:qFormat/>
    <w:pPr>
      <w:widowControl/>
      <w:numPr>
        <w:numId w:val="12"/>
      </w:numPr>
      <w:jc w:val="left"/>
    </w:pPr>
    <w:rPr>
      <w:rFonts w:ascii="宋体" w:eastAsia="宋体" w:hint="eastAsia"/>
      <w:kern w:val="0"/>
      <w:sz w:val="21"/>
      <w:szCs w:val="20"/>
    </w:rPr>
  </w:style>
  <w:style w:type="character" w:customStyle="1" w:styleId="Char3">
    <w:name w:val="标准文件_段 Char"/>
    <w:basedOn w:val="af5"/>
    <w:qFormat/>
    <w:rPr>
      <w:rFonts w:ascii="宋体" w:eastAsia="宋体" w:hAnsi="宋体" w:cs="宋体" w:hint="eastAsia"/>
      <w:sz w:val="21"/>
    </w:rPr>
  </w:style>
  <w:style w:type="paragraph" w:customStyle="1" w:styleId="a0">
    <w:name w:val="标准文件_二级条标题"/>
    <w:basedOn w:val="af4"/>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4"/>
    <w:next w:val="af4"/>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4"/>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4"/>
    <w:qFormat/>
    <w:pPr>
      <w:numPr>
        <w:numId w:val="16"/>
      </w:numPr>
      <w:autoSpaceDE w:val="0"/>
      <w:autoSpaceDN w:val="0"/>
    </w:pPr>
    <w:rPr>
      <w:rFonts w:ascii="宋体" w:eastAsia="宋体" w:hint="eastAsia"/>
      <w:kern w:val="0"/>
      <w:sz w:val="18"/>
      <w:szCs w:val="18"/>
    </w:rPr>
  </w:style>
  <w:style w:type="table" w:customStyle="1" w:styleId="TableNormal">
    <w:name w:val="Table Normal"/>
    <w:semiHidden/>
    <w:unhideWhenUsed/>
    <w:qFormat/>
    <w:rPr>
      <w:rFonts w:ascii="Arial" w:eastAsiaTheme="minorEastAsia" w:hAnsi="Arial" w:cs="Arial"/>
    </w:rPr>
    <w:tblPr>
      <w:tblCellMar>
        <w:top w:w="0" w:type="dxa"/>
        <w:left w:w="0" w:type="dxa"/>
        <w:bottom w:w="0" w:type="dxa"/>
        <w:right w:w="0" w:type="dxa"/>
      </w:tblCellMar>
    </w:tblPr>
  </w:style>
  <w:style w:type="paragraph" w:customStyle="1" w:styleId="TableText">
    <w:name w:val="Table Text"/>
    <w:basedOn w:val="af4"/>
    <w:semiHidden/>
    <w:qFormat/>
    <w:pPr>
      <w:widowControl/>
      <w:kinsoku w:val="0"/>
      <w:autoSpaceDE w:val="0"/>
      <w:autoSpaceDN w:val="0"/>
      <w:adjustRightInd w:val="0"/>
      <w:snapToGrid w:val="0"/>
      <w:ind w:firstLineChars="0" w:firstLine="0"/>
      <w:jc w:val="left"/>
      <w:textAlignment w:val="baseline"/>
    </w:pPr>
    <w:rPr>
      <w:rFonts w:ascii="宋体" w:eastAsia="宋体" w:hAnsi="宋体" w:cs="宋体"/>
      <w:snapToGrid w:val="0"/>
      <w:color w:val="000000"/>
      <w:kern w:val="0"/>
      <w:sz w:val="18"/>
      <w:szCs w:val="18"/>
      <w:lang w:eastAsia="en-US"/>
    </w:rPr>
  </w:style>
  <w:style w:type="paragraph" w:customStyle="1" w:styleId="affb">
    <w:name w:val="正体文"/>
    <w:basedOn w:val="af4"/>
    <w:link w:val="affc"/>
    <w:qFormat/>
    <w:pPr>
      <w:widowControl/>
      <w:kinsoku w:val="0"/>
      <w:autoSpaceDE w:val="0"/>
      <w:autoSpaceDN w:val="0"/>
      <w:adjustRightInd w:val="0"/>
      <w:snapToGrid w:val="0"/>
      <w:spacing w:line="360" w:lineRule="auto"/>
      <w:ind w:firstLine="200"/>
      <w:textAlignment w:val="baseline"/>
    </w:pPr>
    <w:rPr>
      <w:rFonts w:eastAsia="宋体" w:cs="宋体"/>
      <w:snapToGrid w:val="0"/>
      <w:color w:val="000000"/>
      <w:kern w:val="0"/>
      <w:sz w:val="21"/>
      <w:szCs w:val="22"/>
    </w:rPr>
  </w:style>
  <w:style w:type="character" w:customStyle="1" w:styleId="affc">
    <w:name w:val="正体文 字符"/>
    <w:basedOn w:val="af5"/>
    <w:link w:val="affb"/>
    <w:qFormat/>
    <w:rPr>
      <w:rFonts w:cs="宋体"/>
      <w:snapToGrid w:val="0"/>
      <w:color w:val="000000"/>
      <w:sz w:val="21"/>
      <w:szCs w:val="22"/>
    </w:rPr>
  </w:style>
  <w:style w:type="paragraph" w:customStyle="1" w:styleId="affd">
    <w:name w:val="标准文件_表格"/>
    <w:basedOn w:val="affa"/>
    <w:qFormat/>
    <w:pPr>
      <w:ind w:firstLineChars="0" w:firstLine="0"/>
      <w:jc w:val="center"/>
    </w:pPr>
    <w:rPr>
      <w:sz w:val="18"/>
    </w:rPr>
  </w:style>
  <w:style w:type="paragraph" w:customStyle="1" w:styleId="msonormal0">
    <w:name w:val="msonormal"/>
    <w:basedOn w:val="af4"/>
    <w:qFormat/>
    <w:pPr>
      <w:widowControl/>
      <w:numPr>
        <w:numId w:val="17"/>
      </w:numPr>
      <w:tabs>
        <w:tab w:val="left" w:pos="0"/>
      </w:tabs>
      <w:adjustRightInd w:val="0"/>
      <w:snapToGrid w:val="0"/>
      <w:spacing w:before="100" w:beforeAutospacing="1" w:after="100" w:afterAutospacing="1" w:line="360" w:lineRule="auto"/>
      <w:ind w:firstLine="200"/>
      <w:jc w:val="left"/>
    </w:pPr>
    <w:rPr>
      <w:rFonts w:ascii="宋体" w:eastAsia="宋体" w:hAnsi="宋体"/>
      <w:kern w:val="0"/>
      <w:sz w:val="24"/>
    </w:rPr>
  </w:style>
  <w:style w:type="character" w:customStyle="1" w:styleId="3Char">
    <w:name w:val="标题 3 Char"/>
    <w:basedOn w:val="af5"/>
    <w:link w:val="3"/>
    <w:qFormat/>
    <w:rPr>
      <w:rFonts w:cs="Arial"/>
      <w:b/>
      <w:bCs/>
      <w:snapToGrid w:val="0"/>
      <w:color w:val="000000"/>
      <w:sz w:val="21"/>
      <w:szCs w:val="32"/>
      <w:lang w:eastAsia="en-US"/>
    </w:rPr>
  </w:style>
  <w:style w:type="table" w:customStyle="1" w:styleId="GridTableLight">
    <w:name w:val="Grid Table Light"/>
    <w:basedOn w:val="af6"/>
    <w:uiPriority w:val="40"/>
    <w:rsid w:val="00BA3B2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d">
    <w:name w:val="标准文件_附录图标题"/>
    <w:next w:val="affa"/>
    <w:qFormat/>
    <w:rsid w:val="0091556A"/>
    <w:pPr>
      <w:numPr>
        <w:ilvl w:val="1"/>
        <w:numId w:val="19"/>
      </w:numPr>
      <w:adjustRightInd w:val="0"/>
      <w:snapToGrid w:val="0"/>
      <w:spacing w:beforeLines="50" w:afterLines="50"/>
      <w:jc w:val="center"/>
    </w:pPr>
    <w:rPr>
      <w:rFonts w:ascii="黑体" w:eastAsia="黑体"/>
      <w:sz w:val="21"/>
    </w:rPr>
  </w:style>
  <w:style w:type="paragraph" w:customStyle="1" w:styleId="affe">
    <w:name w:val="标准文件_正文表标题"/>
    <w:next w:val="affa"/>
    <w:qFormat/>
    <w:rsid w:val="0091556A"/>
    <w:pPr>
      <w:tabs>
        <w:tab w:val="left" w:pos="0"/>
      </w:tabs>
      <w:spacing w:beforeLines="50" w:afterLines="50"/>
      <w:jc w:val="center"/>
    </w:pPr>
    <w:rPr>
      <w:rFonts w:ascii="黑体" w:eastAsia="黑体"/>
      <w:sz w:val="21"/>
    </w:rPr>
  </w:style>
  <w:style w:type="paragraph" w:customStyle="1" w:styleId="ac">
    <w:name w:val="标准文件_附录图标号"/>
    <w:basedOn w:val="affa"/>
    <w:next w:val="affa"/>
    <w:qFormat/>
    <w:rsid w:val="0091556A"/>
    <w:pPr>
      <w:numPr>
        <w:numId w:val="19"/>
      </w:numPr>
      <w:spacing w:line="14" w:lineRule="exact"/>
      <w:ind w:firstLineChars="0" w:firstLine="0"/>
      <w:jc w:val="center"/>
    </w:pPr>
    <w:rPr>
      <w:rFonts w:ascii="黑体" w:eastAsia="黑体" w:hAnsi="黑体"/>
      <w:vanish/>
      <w:sz w:val="2"/>
      <w:szCs w:val="21"/>
    </w:rPr>
  </w:style>
  <w:style w:type="paragraph" w:styleId="afff">
    <w:name w:val="annotation text"/>
    <w:basedOn w:val="af4"/>
    <w:link w:val="Char4"/>
    <w:qFormat/>
    <w:rsid w:val="00CF77C3"/>
    <w:pPr>
      <w:ind w:firstLineChars="0" w:firstLine="0"/>
      <w:jc w:val="left"/>
    </w:pPr>
    <w:rPr>
      <w:rFonts w:asciiTheme="minorHAnsi" w:eastAsiaTheme="minorEastAsia" w:hAnsiTheme="minorHAnsi" w:cstheme="minorBidi"/>
      <w:sz w:val="21"/>
    </w:rPr>
  </w:style>
  <w:style w:type="character" w:customStyle="1" w:styleId="Char4">
    <w:name w:val="批注文字 Char"/>
    <w:basedOn w:val="af5"/>
    <w:link w:val="afff"/>
    <w:rsid w:val="00CF77C3"/>
    <w:rPr>
      <w:rFonts w:asciiTheme="minorHAnsi" w:eastAsiaTheme="minorEastAsia" w:hAnsiTheme="minorHAnsi" w:cstheme="minorBidi"/>
      <w:kern w:val="2"/>
      <w:sz w:val="21"/>
      <w:szCs w:val="24"/>
    </w:rPr>
  </w:style>
  <w:style w:type="character" w:customStyle="1" w:styleId="2Char">
    <w:name w:val="标题 2 Char"/>
    <w:basedOn w:val="af5"/>
    <w:link w:val="2"/>
    <w:semiHidden/>
    <w:rsid w:val="00502409"/>
    <w:rPr>
      <w:rFonts w:asciiTheme="majorHAnsi" w:eastAsiaTheme="majorEastAsia" w:hAnsiTheme="majorHAnsi" w:cstheme="majorBidi"/>
      <w:b/>
      <w:bCs/>
      <w:kern w:val="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EC4C3B"/>
    <w:pPr>
      <w:widowControl w:val="0"/>
      <w:ind w:firstLineChars="200" w:firstLine="880"/>
      <w:jc w:val="both"/>
    </w:pPr>
    <w:rPr>
      <w:rFonts w:eastAsia="仿宋_GB2312"/>
      <w:kern w:val="2"/>
      <w:sz w:val="32"/>
      <w:szCs w:val="24"/>
    </w:rPr>
  </w:style>
  <w:style w:type="paragraph" w:styleId="2">
    <w:name w:val="heading 2"/>
    <w:basedOn w:val="af4"/>
    <w:next w:val="af4"/>
    <w:link w:val="2Char"/>
    <w:semiHidden/>
    <w:unhideWhenUsed/>
    <w:qFormat/>
    <w:rsid w:val="00502409"/>
    <w:pPr>
      <w:keepNext/>
      <w:keepLines/>
      <w:spacing w:before="260" w:after="260" w:line="416" w:lineRule="auto"/>
      <w:outlineLvl w:val="1"/>
    </w:pPr>
    <w:rPr>
      <w:rFonts w:asciiTheme="majorHAnsi" w:eastAsiaTheme="majorEastAsia" w:hAnsiTheme="majorHAnsi" w:cstheme="majorBidi"/>
      <w:b/>
      <w:bCs/>
      <w:szCs w:val="32"/>
    </w:rPr>
  </w:style>
  <w:style w:type="paragraph" w:styleId="3">
    <w:name w:val="heading 3"/>
    <w:basedOn w:val="af4"/>
    <w:next w:val="af4"/>
    <w:link w:val="3Char"/>
    <w:unhideWhenUsed/>
    <w:qFormat/>
    <w:pPr>
      <w:keepNext/>
      <w:keepLines/>
      <w:widowControl/>
      <w:kinsoku w:val="0"/>
      <w:autoSpaceDE w:val="0"/>
      <w:autoSpaceDN w:val="0"/>
      <w:adjustRightInd w:val="0"/>
      <w:snapToGrid w:val="0"/>
      <w:spacing w:beforeLines="50" w:before="50" w:afterLines="50" w:after="50" w:line="360" w:lineRule="auto"/>
      <w:ind w:firstLineChars="0" w:firstLine="0"/>
      <w:jc w:val="left"/>
      <w:textAlignment w:val="baseline"/>
      <w:outlineLvl w:val="2"/>
    </w:pPr>
    <w:rPr>
      <w:rFonts w:eastAsia="宋体" w:cs="Arial"/>
      <w:b/>
      <w:bCs/>
      <w:snapToGrid w:val="0"/>
      <w:color w:val="000000"/>
      <w:kern w:val="0"/>
      <w:sz w:val="21"/>
      <w:szCs w:val="32"/>
      <w:lang w:eastAsia="en-US"/>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Body Text"/>
    <w:basedOn w:val="af4"/>
    <w:unhideWhenUsed/>
    <w:qFormat/>
    <w:pPr>
      <w:spacing w:after="120"/>
    </w:pPr>
  </w:style>
  <w:style w:type="paragraph" w:styleId="af9">
    <w:name w:val="Balloon Text"/>
    <w:basedOn w:val="af4"/>
    <w:link w:val="Char"/>
    <w:semiHidden/>
    <w:unhideWhenUsed/>
    <w:qFormat/>
    <w:rPr>
      <w:sz w:val="18"/>
      <w:szCs w:val="18"/>
    </w:rPr>
  </w:style>
  <w:style w:type="paragraph" w:styleId="afa">
    <w:name w:val="footer"/>
    <w:basedOn w:val="af4"/>
    <w:link w:val="Char0"/>
    <w:uiPriority w:val="99"/>
    <w:qFormat/>
    <w:pPr>
      <w:tabs>
        <w:tab w:val="center" w:pos="4153"/>
        <w:tab w:val="right" w:pos="8306"/>
      </w:tabs>
      <w:snapToGrid w:val="0"/>
      <w:jc w:val="left"/>
    </w:pPr>
    <w:rPr>
      <w:sz w:val="18"/>
      <w:szCs w:val="18"/>
    </w:rPr>
  </w:style>
  <w:style w:type="paragraph" w:styleId="afb">
    <w:name w:val="header"/>
    <w:basedOn w:val="af4"/>
    <w:link w:val="Char1"/>
    <w:qFormat/>
    <w:pPr>
      <w:pBdr>
        <w:bottom w:val="single" w:sz="6" w:space="1" w:color="auto"/>
      </w:pBdr>
      <w:tabs>
        <w:tab w:val="center" w:pos="4153"/>
        <w:tab w:val="right" w:pos="8306"/>
      </w:tabs>
      <w:snapToGrid w:val="0"/>
      <w:jc w:val="center"/>
    </w:pPr>
    <w:rPr>
      <w:sz w:val="18"/>
      <w:szCs w:val="18"/>
    </w:rPr>
  </w:style>
  <w:style w:type="paragraph" w:styleId="afc">
    <w:name w:val="Normal (Web)"/>
    <w:basedOn w:val="af4"/>
    <w:uiPriority w:val="99"/>
    <w:qFormat/>
    <w:pPr>
      <w:spacing w:before="100" w:beforeAutospacing="1" w:after="100" w:afterAutospacing="1"/>
      <w:jc w:val="left"/>
    </w:pPr>
    <w:rPr>
      <w:kern w:val="0"/>
      <w:sz w:val="24"/>
    </w:rPr>
  </w:style>
  <w:style w:type="table" w:styleId="afd">
    <w:name w:val="Table Grid"/>
    <w:basedOn w:val="af6"/>
    <w:uiPriority w:val="5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Hyperlink"/>
    <w:basedOn w:val="af5"/>
    <w:uiPriority w:val="99"/>
    <w:unhideWhenUsed/>
    <w:qFormat/>
    <w:rPr>
      <w:color w:val="0000FF"/>
      <w:u w:val="single"/>
    </w:rPr>
  </w:style>
  <w:style w:type="paragraph" w:customStyle="1" w:styleId="aff">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f0">
    <w:name w:val="正文表标题"/>
    <w:next w:val="aff"/>
    <w:qFormat/>
    <w:pPr>
      <w:spacing w:beforeLines="50" w:afterLines="50"/>
      <w:jc w:val="center"/>
    </w:pPr>
    <w:rPr>
      <w:rFonts w:ascii="黑体" w:eastAsia="黑体"/>
      <w:sz w:val="21"/>
    </w:rPr>
  </w:style>
  <w:style w:type="paragraph" w:customStyle="1" w:styleId="af1">
    <w:name w:val="正文图标题"/>
    <w:next w:val="aff"/>
    <w:qFormat/>
    <w:pPr>
      <w:numPr>
        <w:numId w:val="1"/>
      </w:numPr>
      <w:tabs>
        <w:tab w:val="left" w:pos="360"/>
      </w:tabs>
      <w:spacing w:beforeLines="50" w:afterLines="50"/>
      <w:jc w:val="center"/>
    </w:pPr>
    <w:rPr>
      <w:rFonts w:ascii="黑体" w:eastAsia="黑体"/>
      <w:sz w:val="21"/>
    </w:rPr>
  </w:style>
  <w:style w:type="paragraph" w:customStyle="1" w:styleId="ae">
    <w:name w:val="其他发布日期"/>
    <w:basedOn w:val="af4"/>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1">
    <w:name w:val="一级条标题"/>
    <w:next w:val="aff"/>
    <w:qFormat/>
    <w:pPr>
      <w:spacing w:beforeLines="50" w:afterLines="50"/>
      <w:ind w:left="525"/>
      <w:outlineLvl w:val="2"/>
    </w:pPr>
    <w:rPr>
      <w:rFonts w:ascii="黑体" w:eastAsia="黑体"/>
      <w:sz w:val="21"/>
      <w:szCs w:val="21"/>
    </w:rPr>
  </w:style>
  <w:style w:type="paragraph" w:customStyle="1" w:styleId="a7">
    <w:name w:val="章标题"/>
    <w:next w:val="aff"/>
    <w:qFormat/>
    <w:pPr>
      <w:numPr>
        <w:numId w:val="3"/>
      </w:numPr>
      <w:spacing w:beforeLines="100" w:afterLines="100"/>
      <w:jc w:val="both"/>
      <w:outlineLvl w:val="1"/>
    </w:pPr>
    <w:rPr>
      <w:rFonts w:ascii="黑体" w:eastAsia="黑体"/>
      <w:sz w:val="21"/>
    </w:rPr>
  </w:style>
  <w:style w:type="paragraph" w:customStyle="1" w:styleId="aff2">
    <w:name w:val="二级条标题"/>
    <w:basedOn w:val="aff1"/>
    <w:next w:val="aff"/>
    <w:qFormat/>
    <w:pPr>
      <w:spacing w:before="50" w:after="50"/>
      <w:outlineLvl w:val="3"/>
    </w:pPr>
  </w:style>
  <w:style w:type="paragraph" w:customStyle="1" w:styleId="aff3">
    <w:name w:val="三级条标题"/>
    <w:basedOn w:val="aff2"/>
    <w:next w:val="aff"/>
    <w:qFormat/>
    <w:pPr>
      <w:outlineLvl w:val="4"/>
    </w:pPr>
  </w:style>
  <w:style w:type="paragraph" w:customStyle="1" w:styleId="aff4">
    <w:name w:val="四级条标题"/>
    <w:basedOn w:val="aff3"/>
    <w:next w:val="aff"/>
    <w:qFormat/>
    <w:pPr>
      <w:outlineLvl w:val="5"/>
    </w:pPr>
  </w:style>
  <w:style w:type="paragraph" w:customStyle="1" w:styleId="aff5">
    <w:name w:val="五级条标题"/>
    <w:basedOn w:val="aff4"/>
    <w:next w:val="aff"/>
    <w:qFormat/>
    <w:pPr>
      <w:outlineLvl w:val="6"/>
    </w:pPr>
  </w:style>
  <w:style w:type="paragraph" w:customStyle="1" w:styleId="a3">
    <w:name w:val="注："/>
    <w:next w:val="aff"/>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4"/>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4"/>
    <w:next w:val="aff"/>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4"/>
    <w:qFormat/>
    <w:pPr>
      <w:numPr>
        <w:numId w:val="7"/>
      </w:numPr>
    </w:pPr>
    <w:rPr>
      <w:rFonts w:ascii="宋体"/>
      <w:sz w:val="18"/>
      <w:szCs w:val="18"/>
    </w:rPr>
  </w:style>
  <w:style w:type="character" w:customStyle="1" w:styleId="Char2">
    <w:name w:val="段 Char"/>
    <w:basedOn w:val="af5"/>
    <w:link w:val="aff"/>
    <w:qFormat/>
    <w:rPr>
      <w:rFonts w:ascii="宋体"/>
      <w:sz w:val="21"/>
      <w:lang w:val="en-US" w:eastAsia="zh-CN" w:bidi="ar-SA"/>
    </w:rPr>
  </w:style>
  <w:style w:type="character" w:customStyle="1" w:styleId="Char1">
    <w:name w:val="页眉 Char"/>
    <w:basedOn w:val="af5"/>
    <w:link w:val="afb"/>
    <w:qFormat/>
    <w:rPr>
      <w:kern w:val="2"/>
      <w:sz w:val="18"/>
      <w:szCs w:val="18"/>
    </w:rPr>
  </w:style>
  <w:style w:type="character" w:customStyle="1" w:styleId="Char0">
    <w:name w:val="页脚 Char"/>
    <w:basedOn w:val="af5"/>
    <w:link w:val="afa"/>
    <w:uiPriority w:val="99"/>
    <w:qFormat/>
    <w:rPr>
      <w:kern w:val="2"/>
      <w:sz w:val="18"/>
      <w:szCs w:val="18"/>
    </w:rPr>
  </w:style>
  <w:style w:type="paragraph" w:customStyle="1" w:styleId="af0">
    <w:name w:val="附录表标题"/>
    <w:basedOn w:val="af4"/>
    <w:next w:val="aff"/>
    <w:qFormat/>
    <w:pPr>
      <w:numPr>
        <w:ilvl w:val="1"/>
        <w:numId w:val="8"/>
      </w:numPr>
      <w:tabs>
        <w:tab w:val="left" w:pos="180"/>
      </w:tabs>
      <w:spacing w:beforeLines="50" w:afterLines="50"/>
      <w:ind w:left="0" w:firstLine="0"/>
      <w:jc w:val="center"/>
    </w:pPr>
    <w:rPr>
      <w:rFonts w:ascii="黑体" w:eastAsia="黑体"/>
      <w:szCs w:val="21"/>
    </w:rPr>
  </w:style>
  <w:style w:type="paragraph" w:styleId="aff6">
    <w:name w:val="List Paragraph"/>
    <w:basedOn w:val="af4"/>
    <w:uiPriority w:val="34"/>
    <w:unhideWhenUsed/>
    <w:qFormat/>
    <w:pPr>
      <w:ind w:firstLine="420"/>
    </w:pPr>
  </w:style>
  <w:style w:type="paragraph" w:customStyle="1" w:styleId="aff7">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8">
    <w:name w:val="发布"/>
    <w:qFormat/>
    <w:rPr>
      <w:rFonts w:ascii="黑体" w:eastAsia="黑体"/>
      <w:spacing w:val="22"/>
      <w:w w:val="100"/>
      <w:position w:val="3"/>
      <w:sz w:val="28"/>
    </w:rPr>
  </w:style>
  <w:style w:type="paragraph" w:customStyle="1" w:styleId="aff9">
    <w:name w:val="其他发布部门"/>
    <w:basedOn w:val="af4"/>
    <w:qFormat/>
    <w:pPr>
      <w:widowControl/>
      <w:spacing w:line="0" w:lineRule="atLeast"/>
      <w:jc w:val="center"/>
    </w:pPr>
    <w:rPr>
      <w:rFonts w:ascii="黑体" w:eastAsia="黑体"/>
      <w:spacing w:val="20"/>
      <w:w w:val="135"/>
      <w:kern w:val="0"/>
      <w:sz w:val="36"/>
      <w:szCs w:val="20"/>
    </w:rPr>
  </w:style>
  <w:style w:type="paragraph" w:customStyle="1" w:styleId="affa">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5"/>
    <w:link w:val="af9"/>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1"/>
    <w:qFormat/>
    <w:pPr>
      <w:numPr>
        <w:ilvl w:val="1"/>
        <w:numId w:val="3"/>
      </w:numPr>
      <w:spacing w:beforeLines="0" w:afterLines="0"/>
    </w:pPr>
    <w:rPr>
      <w:rFonts w:ascii="宋体" w:eastAsia="宋体"/>
    </w:rPr>
  </w:style>
  <w:style w:type="paragraph" w:customStyle="1" w:styleId="a2">
    <w:name w:val="标准文件_一级无标题"/>
    <w:basedOn w:val="af3"/>
    <w:qFormat/>
    <w:pPr>
      <w:numPr>
        <w:numId w:val="9"/>
      </w:numPr>
    </w:pPr>
    <w:rPr>
      <w:rFonts w:ascii="宋体" w:hint="eastAsia"/>
    </w:rPr>
  </w:style>
  <w:style w:type="paragraph" w:customStyle="1" w:styleId="af3">
    <w:name w:val="标准文件_一级条标题"/>
    <w:basedOn w:val="af2"/>
    <w:next w:val="affa"/>
    <w:qFormat/>
    <w:pPr>
      <w:numPr>
        <w:ilvl w:val="2"/>
      </w:numPr>
      <w:spacing w:beforeLines="50" w:before="50" w:afterLines="50" w:after="50"/>
      <w:outlineLvl w:val="1"/>
    </w:pPr>
  </w:style>
  <w:style w:type="paragraph" w:customStyle="1" w:styleId="af2">
    <w:name w:val="标准文件_章标题"/>
    <w:next w:val="affa"/>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f">
    <w:name w:val="标准文件_一级项"/>
    <w:basedOn w:val="af4"/>
    <w:qFormat/>
    <w:pPr>
      <w:widowControl/>
      <w:numPr>
        <w:numId w:val="12"/>
      </w:numPr>
      <w:jc w:val="left"/>
    </w:pPr>
    <w:rPr>
      <w:rFonts w:ascii="宋体" w:eastAsia="宋体" w:hint="eastAsia"/>
      <w:kern w:val="0"/>
      <w:sz w:val="21"/>
      <w:szCs w:val="20"/>
    </w:rPr>
  </w:style>
  <w:style w:type="character" w:customStyle="1" w:styleId="Char3">
    <w:name w:val="标准文件_段 Char"/>
    <w:basedOn w:val="af5"/>
    <w:qFormat/>
    <w:rPr>
      <w:rFonts w:ascii="宋体" w:eastAsia="宋体" w:hAnsi="宋体" w:cs="宋体" w:hint="eastAsia"/>
      <w:sz w:val="21"/>
    </w:rPr>
  </w:style>
  <w:style w:type="paragraph" w:customStyle="1" w:styleId="a0">
    <w:name w:val="标准文件_二级条标题"/>
    <w:basedOn w:val="af4"/>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4"/>
    <w:next w:val="af4"/>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4"/>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4"/>
    <w:qFormat/>
    <w:pPr>
      <w:numPr>
        <w:numId w:val="16"/>
      </w:numPr>
      <w:autoSpaceDE w:val="0"/>
      <w:autoSpaceDN w:val="0"/>
    </w:pPr>
    <w:rPr>
      <w:rFonts w:ascii="宋体" w:eastAsia="宋体" w:hint="eastAsia"/>
      <w:kern w:val="0"/>
      <w:sz w:val="18"/>
      <w:szCs w:val="18"/>
    </w:rPr>
  </w:style>
  <w:style w:type="table" w:customStyle="1" w:styleId="TableNormal">
    <w:name w:val="Table Normal"/>
    <w:semiHidden/>
    <w:unhideWhenUsed/>
    <w:qFormat/>
    <w:rPr>
      <w:rFonts w:ascii="Arial" w:eastAsiaTheme="minorEastAsia" w:hAnsi="Arial" w:cs="Arial"/>
    </w:rPr>
    <w:tblPr>
      <w:tblCellMar>
        <w:top w:w="0" w:type="dxa"/>
        <w:left w:w="0" w:type="dxa"/>
        <w:bottom w:w="0" w:type="dxa"/>
        <w:right w:w="0" w:type="dxa"/>
      </w:tblCellMar>
    </w:tblPr>
  </w:style>
  <w:style w:type="paragraph" w:customStyle="1" w:styleId="TableText">
    <w:name w:val="Table Text"/>
    <w:basedOn w:val="af4"/>
    <w:semiHidden/>
    <w:qFormat/>
    <w:pPr>
      <w:widowControl/>
      <w:kinsoku w:val="0"/>
      <w:autoSpaceDE w:val="0"/>
      <w:autoSpaceDN w:val="0"/>
      <w:adjustRightInd w:val="0"/>
      <w:snapToGrid w:val="0"/>
      <w:ind w:firstLineChars="0" w:firstLine="0"/>
      <w:jc w:val="left"/>
      <w:textAlignment w:val="baseline"/>
    </w:pPr>
    <w:rPr>
      <w:rFonts w:ascii="宋体" w:eastAsia="宋体" w:hAnsi="宋体" w:cs="宋体"/>
      <w:snapToGrid w:val="0"/>
      <w:color w:val="000000"/>
      <w:kern w:val="0"/>
      <w:sz w:val="18"/>
      <w:szCs w:val="18"/>
      <w:lang w:eastAsia="en-US"/>
    </w:rPr>
  </w:style>
  <w:style w:type="paragraph" w:customStyle="1" w:styleId="affb">
    <w:name w:val="正体文"/>
    <w:basedOn w:val="af4"/>
    <w:link w:val="affc"/>
    <w:qFormat/>
    <w:pPr>
      <w:widowControl/>
      <w:kinsoku w:val="0"/>
      <w:autoSpaceDE w:val="0"/>
      <w:autoSpaceDN w:val="0"/>
      <w:adjustRightInd w:val="0"/>
      <w:snapToGrid w:val="0"/>
      <w:spacing w:line="360" w:lineRule="auto"/>
      <w:ind w:firstLine="200"/>
      <w:textAlignment w:val="baseline"/>
    </w:pPr>
    <w:rPr>
      <w:rFonts w:eastAsia="宋体" w:cs="宋体"/>
      <w:snapToGrid w:val="0"/>
      <w:color w:val="000000"/>
      <w:kern w:val="0"/>
      <w:sz w:val="21"/>
      <w:szCs w:val="22"/>
    </w:rPr>
  </w:style>
  <w:style w:type="character" w:customStyle="1" w:styleId="affc">
    <w:name w:val="正体文 字符"/>
    <w:basedOn w:val="af5"/>
    <w:link w:val="affb"/>
    <w:qFormat/>
    <w:rPr>
      <w:rFonts w:cs="宋体"/>
      <w:snapToGrid w:val="0"/>
      <w:color w:val="000000"/>
      <w:sz w:val="21"/>
      <w:szCs w:val="22"/>
    </w:rPr>
  </w:style>
  <w:style w:type="paragraph" w:customStyle="1" w:styleId="affd">
    <w:name w:val="标准文件_表格"/>
    <w:basedOn w:val="affa"/>
    <w:qFormat/>
    <w:pPr>
      <w:ind w:firstLineChars="0" w:firstLine="0"/>
      <w:jc w:val="center"/>
    </w:pPr>
    <w:rPr>
      <w:sz w:val="18"/>
    </w:rPr>
  </w:style>
  <w:style w:type="paragraph" w:customStyle="1" w:styleId="msonormal0">
    <w:name w:val="msonormal"/>
    <w:basedOn w:val="af4"/>
    <w:qFormat/>
    <w:pPr>
      <w:widowControl/>
      <w:numPr>
        <w:numId w:val="17"/>
      </w:numPr>
      <w:tabs>
        <w:tab w:val="left" w:pos="0"/>
      </w:tabs>
      <w:adjustRightInd w:val="0"/>
      <w:snapToGrid w:val="0"/>
      <w:spacing w:before="100" w:beforeAutospacing="1" w:after="100" w:afterAutospacing="1" w:line="360" w:lineRule="auto"/>
      <w:ind w:firstLine="200"/>
      <w:jc w:val="left"/>
    </w:pPr>
    <w:rPr>
      <w:rFonts w:ascii="宋体" w:eastAsia="宋体" w:hAnsi="宋体"/>
      <w:kern w:val="0"/>
      <w:sz w:val="24"/>
    </w:rPr>
  </w:style>
  <w:style w:type="character" w:customStyle="1" w:styleId="3Char">
    <w:name w:val="标题 3 Char"/>
    <w:basedOn w:val="af5"/>
    <w:link w:val="3"/>
    <w:qFormat/>
    <w:rPr>
      <w:rFonts w:cs="Arial"/>
      <w:b/>
      <w:bCs/>
      <w:snapToGrid w:val="0"/>
      <w:color w:val="000000"/>
      <w:sz w:val="21"/>
      <w:szCs w:val="32"/>
      <w:lang w:eastAsia="en-US"/>
    </w:rPr>
  </w:style>
  <w:style w:type="table" w:customStyle="1" w:styleId="GridTableLight">
    <w:name w:val="Grid Table Light"/>
    <w:basedOn w:val="af6"/>
    <w:uiPriority w:val="40"/>
    <w:rsid w:val="00BA3B2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d">
    <w:name w:val="标准文件_附录图标题"/>
    <w:next w:val="affa"/>
    <w:qFormat/>
    <w:rsid w:val="0091556A"/>
    <w:pPr>
      <w:numPr>
        <w:ilvl w:val="1"/>
        <w:numId w:val="19"/>
      </w:numPr>
      <w:adjustRightInd w:val="0"/>
      <w:snapToGrid w:val="0"/>
      <w:spacing w:beforeLines="50" w:afterLines="50"/>
      <w:jc w:val="center"/>
    </w:pPr>
    <w:rPr>
      <w:rFonts w:ascii="黑体" w:eastAsia="黑体"/>
      <w:sz w:val="21"/>
    </w:rPr>
  </w:style>
  <w:style w:type="paragraph" w:customStyle="1" w:styleId="affe">
    <w:name w:val="标准文件_正文表标题"/>
    <w:next w:val="affa"/>
    <w:qFormat/>
    <w:rsid w:val="0091556A"/>
    <w:pPr>
      <w:tabs>
        <w:tab w:val="left" w:pos="0"/>
      </w:tabs>
      <w:spacing w:beforeLines="50" w:afterLines="50"/>
      <w:jc w:val="center"/>
    </w:pPr>
    <w:rPr>
      <w:rFonts w:ascii="黑体" w:eastAsia="黑体"/>
      <w:sz w:val="21"/>
    </w:rPr>
  </w:style>
  <w:style w:type="paragraph" w:customStyle="1" w:styleId="ac">
    <w:name w:val="标准文件_附录图标号"/>
    <w:basedOn w:val="affa"/>
    <w:next w:val="affa"/>
    <w:qFormat/>
    <w:rsid w:val="0091556A"/>
    <w:pPr>
      <w:numPr>
        <w:numId w:val="19"/>
      </w:numPr>
      <w:spacing w:line="14" w:lineRule="exact"/>
      <w:ind w:firstLineChars="0" w:firstLine="0"/>
      <w:jc w:val="center"/>
    </w:pPr>
    <w:rPr>
      <w:rFonts w:ascii="黑体" w:eastAsia="黑体" w:hAnsi="黑体"/>
      <w:vanish/>
      <w:sz w:val="2"/>
      <w:szCs w:val="21"/>
    </w:rPr>
  </w:style>
  <w:style w:type="paragraph" w:styleId="afff">
    <w:name w:val="annotation text"/>
    <w:basedOn w:val="af4"/>
    <w:link w:val="Char4"/>
    <w:qFormat/>
    <w:rsid w:val="00CF77C3"/>
    <w:pPr>
      <w:ind w:firstLineChars="0" w:firstLine="0"/>
      <w:jc w:val="left"/>
    </w:pPr>
    <w:rPr>
      <w:rFonts w:asciiTheme="minorHAnsi" w:eastAsiaTheme="minorEastAsia" w:hAnsiTheme="minorHAnsi" w:cstheme="minorBidi"/>
      <w:sz w:val="21"/>
    </w:rPr>
  </w:style>
  <w:style w:type="character" w:customStyle="1" w:styleId="Char4">
    <w:name w:val="批注文字 Char"/>
    <w:basedOn w:val="af5"/>
    <w:link w:val="afff"/>
    <w:rsid w:val="00CF77C3"/>
    <w:rPr>
      <w:rFonts w:asciiTheme="minorHAnsi" w:eastAsiaTheme="minorEastAsia" w:hAnsiTheme="minorHAnsi" w:cstheme="minorBidi"/>
      <w:kern w:val="2"/>
      <w:sz w:val="21"/>
      <w:szCs w:val="24"/>
    </w:rPr>
  </w:style>
  <w:style w:type="character" w:customStyle="1" w:styleId="2Char">
    <w:name w:val="标题 2 Char"/>
    <w:basedOn w:val="af5"/>
    <w:link w:val="2"/>
    <w:semiHidden/>
    <w:rsid w:val="00502409"/>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2475</TotalTime>
  <Pages>61</Pages>
  <Words>5656</Words>
  <Characters>32244</Characters>
  <Application>Microsoft Office Word</Application>
  <DocSecurity>0</DocSecurity>
  <Lines>268</Lines>
  <Paragraphs>75</Paragraphs>
  <ScaleCrop>false</ScaleCrop>
  <Company>WWW.YlmF.CoM</Company>
  <LinksUpToDate>false</LinksUpToDate>
  <CharactersWithSpaces>37825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61</cp:revision>
  <cp:lastPrinted>2025-01-15T04:51:00Z</cp:lastPrinted>
  <dcterms:created xsi:type="dcterms:W3CDTF">2025-02-19T02:46:00Z</dcterms:created>
  <dcterms:modified xsi:type="dcterms:W3CDTF">2026-02-05T09:58:00Z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5FAC6B0E9A2C4B59A12644F9C27EB80D_13</vt:lpwstr>
  </property>
  <property fmtid="{D5CDD505-2E9C-101B-9397-08002B2CF9AE}" pid="4" name="KSOTemplateDocerSaveRecord">
    <vt:lpwstr>eyJoZGlkIjoiMTg2NjM1ZTZiMmY5YWU1ZGE2Mzc1MGVlNTczNWIwM2IiLCJ1c2VySWQiOiIxMzg5MzAwNjUyIn0=</vt:lpwstr>
  </property>
</Properties>
</file>